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3C" w:rsidRDefault="0057554F">
      <w:pPr>
        <w:rPr>
          <w:color w:val="000000"/>
        </w:rPr>
      </w:pPr>
      <w:r>
        <w:rPr>
          <w:color w:val="000000"/>
        </w:rPr>
        <w:t>Dwelling – Single Family Dwelling in Recreational, ACU, Subject to (27</w:t>
      </w:r>
      <w:proofErr w:type="gramStart"/>
      <w:r>
        <w:rPr>
          <w:color w:val="000000"/>
        </w:rPr>
        <w:t>)l</w:t>
      </w:r>
      <w:proofErr w:type="gramEnd"/>
      <w:r>
        <w:rPr>
          <w:color w:val="000000"/>
        </w:rPr>
        <w:t xml:space="preserve"> </w:t>
      </w:r>
    </w:p>
    <w:p w:rsidR="0057554F" w:rsidRPr="0057554F" w:rsidRDefault="0057554F" w:rsidP="0057554F">
      <w:pPr>
        <w:pStyle w:val="ListParagraph"/>
        <w:numPr>
          <w:ilvl w:val="0"/>
          <w:numId w:val="2"/>
        </w:numPr>
        <w:rPr>
          <w:rFonts w:eastAsiaTheme="minorHAnsi"/>
        </w:rPr>
      </w:pPr>
      <w:r w:rsidRPr="0057554F">
        <w:rPr>
          <w:rFonts w:eastAsiaTheme="minorHAnsi"/>
        </w:rPr>
        <w:t xml:space="preserve">Dwelling - </w:t>
      </w:r>
      <w:r w:rsidRPr="00A61AC7">
        <w:t>Any building that contains one or more dwelling units used, intended, or designed to be built, used, rented, leased, let or hired out to be occupied, or that are occupied for living purposes. A dwelling shall consist of a kitchen, bathroom(s) and living space. Dwellings do not including a RV, tent, teepee, yurt, hotels, motels, vacation rentals or boarding houses.   Types of Dwellings are listed below.  Long term rentals are not regulated by this ordinance.</w:t>
      </w:r>
    </w:p>
    <w:p w:rsidR="0057554F" w:rsidRPr="00A61AC7" w:rsidRDefault="0057554F" w:rsidP="0057554F">
      <w:pPr>
        <w:pStyle w:val="ListParagraph"/>
        <w:numPr>
          <w:ilvl w:val="0"/>
          <w:numId w:val="3"/>
        </w:numPr>
      </w:pPr>
      <w:r w:rsidRPr="0057554F">
        <w:rPr>
          <w:rFonts w:eastAsiaTheme="minorHAnsi"/>
        </w:rPr>
        <w:t>Single Family Dwelling in recreational zones - Single family dwelling: On land zoned "Recreation" and privately owned on January 1, 1993, one single family dwelling or mobile home may be established on contiguous lots or parcels under the same ownership on January 1, 1993, provided:</w:t>
      </w:r>
    </w:p>
    <w:p w:rsidR="0057554F" w:rsidRPr="00A61AC7" w:rsidRDefault="0057554F" w:rsidP="0057554F">
      <w:pPr>
        <w:pStyle w:val="ListParagraph"/>
        <w:numPr>
          <w:ilvl w:val="2"/>
          <w:numId w:val="3"/>
        </w:numPr>
      </w:pPr>
      <w:r w:rsidRPr="00A61AC7">
        <w:rPr>
          <w:rFonts w:eastAsiaTheme="minorHAnsi"/>
        </w:rPr>
        <w:t>The dwelling will not interfere with or pre-empt future or existing recreational uses on adjacent or nearby Recreational zoned land.</w:t>
      </w:r>
    </w:p>
    <w:p w:rsidR="0057554F" w:rsidRPr="00A61AC7" w:rsidRDefault="0057554F" w:rsidP="0057554F">
      <w:pPr>
        <w:pStyle w:val="ListParagraph"/>
        <w:numPr>
          <w:ilvl w:val="2"/>
          <w:numId w:val="3"/>
        </w:numPr>
      </w:pPr>
      <w:r w:rsidRPr="00A61AC7">
        <w:rPr>
          <w:rFonts w:eastAsiaTheme="minorHAnsi"/>
        </w:rPr>
        <w:t>The dwelling is compatible with surrounding uses or could be made compatible with the imposition of conditions.</w:t>
      </w:r>
    </w:p>
    <w:p w:rsidR="0057554F" w:rsidRPr="00A61AC7" w:rsidRDefault="0057554F" w:rsidP="0057554F">
      <w:pPr>
        <w:pStyle w:val="ListParagraph"/>
        <w:numPr>
          <w:ilvl w:val="2"/>
          <w:numId w:val="3"/>
        </w:numPr>
      </w:pPr>
      <w:r w:rsidRPr="00A61AC7">
        <w:rPr>
          <w:rFonts w:eastAsiaTheme="minorHAnsi"/>
        </w:rPr>
        <w:t>No other dwellings exist on the contiguous lots or parcels under that ownership. Any land divisions to separate a dwelling established under this section must create a 5 acre parcel containing the dwelling.  No other dwellings may be established on the remaining parcel.  A land division must comply with Article 6.5 of the Ordinance [OR 92-11-018PL]</w:t>
      </w:r>
    </w:p>
    <w:p w:rsidR="00A653C9" w:rsidRPr="00712DDC" w:rsidRDefault="00A653C9" w:rsidP="00A653C9">
      <w:pPr>
        <w:pStyle w:val="Header"/>
        <w:numPr>
          <w:ilvl w:val="0"/>
          <w:numId w:val="4"/>
        </w:numPr>
        <w:tabs>
          <w:tab w:val="clear" w:pos="4680"/>
          <w:tab w:val="clear" w:pos="9360"/>
        </w:tabs>
        <w:ind w:left="1440" w:hanging="720"/>
        <w:rPr>
          <w:szCs w:val="24"/>
        </w:rPr>
      </w:pPr>
      <w:bookmarkStart w:id="0" w:name="_Toc29205589"/>
      <w:r w:rsidRPr="009B3E11">
        <w:rPr>
          <w:rStyle w:val="Heading3Char"/>
        </w:rPr>
        <w:t>Recreation (REC), South Slough (SS) and Minor Estuary and Shoreland (MES)</w:t>
      </w:r>
      <w:bookmarkEnd w:id="0"/>
      <w:r w:rsidRPr="00712DDC">
        <w:rPr>
          <w:szCs w:val="24"/>
        </w:rPr>
        <w:t xml:space="preserve"> – The </w:t>
      </w:r>
      <w:r w:rsidRPr="00712DDC">
        <w:rPr>
          <w:bCs/>
          <w:szCs w:val="24"/>
        </w:rPr>
        <w:t xml:space="preserve">following conditional use review standards applies to all </w:t>
      </w:r>
      <w:r w:rsidRPr="00712DDC">
        <w:rPr>
          <w:szCs w:val="24"/>
        </w:rPr>
        <w:t>USES</w:t>
      </w:r>
      <w:r w:rsidRPr="00712DDC">
        <w:rPr>
          <w:caps/>
          <w:szCs w:val="24"/>
        </w:rPr>
        <w:t xml:space="preserve">, activities </w:t>
      </w:r>
      <w:r w:rsidRPr="00712DDC">
        <w:rPr>
          <w:szCs w:val="24"/>
        </w:rPr>
        <w:t>and</w:t>
      </w:r>
      <w:r w:rsidRPr="00712DDC">
        <w:rPr>
          <w:caps/>
          <w:szCs w:val="24"/>
        </w:rPr>
        <w:t xml:space="preserve"> development </w:t>
      </w:r>
      <w:r w:rsidRPr="00712DDC">
        <w:rPr>
          <w:szCs w:val="24"/>
        </w:rPr>
        <w:t>within the REC, SS and MES zoning districts.</w:t>
      </w:r>
    </w:p>
    <w:p w:rsidR="00A653C9" w:rsidRPr="00712DDC" w:rsidRDefault="00A653C9" w:rsidP="00A653C9">
      <w:pPr>
        <w:pStyle w:val="Header"/>
        <w:tabs>
          <w:tab w:val="clear" w:pos="4680"/>
          <w:tab w:val="clear" w:pos="9360"/>
        </w:tabs>
        <w:rPr>
          <w:szCs w:val="24"/>
        </w:rPr>
      </w:pPr>
    </w:p>
    <w:p w:rsidR="00A653C9" w:rsidRPr="00712DDC" w:rsidRDefault="00A653C9" w:rsidP="00A653C9">
      <w:pPr>
        <w:pStyle w:val="Header"/>
        <w:numPr>
          <w:ilvl w:val="0"/>
          <w:numId w:val="5"/>
        </w:numPr>
        <w:tabs>
          <w:tab w:val="clear" w:pos="4680"/>
          <w:tab w:val="clear" w:pos="9360"/>
        </w:tabs>
        <w:rPr>
          <w:szCs w:val="24"/>
        </w:rPr>
      </w:pPr>
      <w:r w:rsidRPr="00712DDC">
        <w:rPr>
          <w:rFonts w:eastAsiaTheme="minorHAnsi"/>
          <w:snapToGrid w:val="0"/>
          <w:szCs w:val="24"/>
        </w:rPr>
        <w:t xml:space="preserve">COMPATIBILITY: The proposed USE, ACTIVITY OR DEVELOPMENT </w:t>
      </w:r>
      <w:r w:rsidRPr="002A7F8B">
        <w:rPr>
          <w:szCs w:val="24"/>
        </w:rPr>
        <w:t>is required to demonstrate compatibility with the surrounding properties or compatibility may be made through the imposition of conditions. Compatibility means that the proposed use is capable of existing together with the surrounding uses without discord or disharmony.  The test is where the proposed use is compatible with the existing surrounding uses and not potential or future uses in the surround area.</w:t>
      </w:r>
    </w:p>
    <w:p w:rsidR="00A653C9" w:rsidRPr="00432835" w:rsidRDefault="00A653C9" w:rsidP="00A653C9">
      <w:pPr>
        <w:pStyle w:val="Heading2"/>
        <w:rPr>
          <w:caps/>
        </w:rPr>
      </w:pPr>
      <w:bookmarkStart w:id="1" w:name="_Toc29205590"/>
      <w:r w:rsidRPr="00432835">
        <w:rPr>
          <w:caps/>
        </w:rPr>
        <w:t>Section 4.3.225</w:t>
      </w:r>
      <w:r w:rsidRPr="00432835">
        <w:rPr>
          <w:caps/>
        </w:rPr>
        <w:tab/>
        <w:t xml:space="preserve">  General Siting Standards</w:t>
      </w:r>
      <w:bookmarkEnd w:id="1"/>
      <w:r w:rsidRPr="00432835">
        <w:rPr>
          <w:caps/>
        </w:rPr>
        <w:t xml:space="preserve"> </w:t>
      </w:r>
    </w:p>
    <w:p w:rsidR="00A653C9" w:rsidRPr="00712DDC" w:rsidRDefault="00A653C9" w:rsidP="00A653C9">
      <w:pPr>
        <w:rPr>
          <w:szCs w:val="24"/>
        </w:rPr>
      </w:pPr>
      <w:r w:rsidRPr="00712DDC">
        <w:rPr>
          <w:szCs w:val="24"/>
        </w:rPr>
        <w:t>All new USES</w:t>
      </w:r>
      <w:r w:rsidRPr="00712DDC">
        <w:rPr>
          <w:caps/>
          <w:szCs w:val="24"/>
        </w:rPr>
        <w:t xml:space="preserve">, activities </w:t>
      </w:r>
      <w:r w:rsidRPr="00712DDC">
        <w:rPr>
          <w:szCs w:val="24"/>
        </w:rPr>
        <w:t>and</w:t>
      </w:r>
      <w:r w:rsidRPr="00712DDC">
        <w:rPr>
          <w:caps/>
          <w:szCs w:val="24"/>
        </w:rPr>
        <w:t xml:space="preserve"> development</w:t>
      </w:r>
      <w:r w:rsidRPr="00712DDC">
        <w:rPr>
          <w:szCs w:val="24"/>
        </w:rPr>
        <w:t xml:space="preserve"> are subject to the following </w:t>
      </w:r>
      <w:proofErr w:type="spellStart"/>
      <w:r w:rsidRPr="00712DDC">
        <w:rPr>
          <w:szCs w:val="24"/>
        </w:rPr>
        <w:t>siting</w:t>
      </w:r>
      <w:proofErr w:type="spellEnd"/>
      <w:r w:rsidRPr="00712DDC">
        <w:rPr>
          <w:szCs w:val="24"/>
        </w:rPr>
        <w:t xml:space="preserve"> standards: </w:t>
      </w:r>
    </w:p>
    <w:p w:rsidR="00A653C9" w:rsidRPr="00712DDC" w:rsidRDefault="00A653C9" w:rsidP="00A653C9">
      <w:pPr>
        <w:pStyle w:val="ListParagraph"/>
        <w:numPr>
          <w:ilvl w:val="0"/>
          <w:numId w:val="6"/>
        </w:numPr>
        <w:rPr>
          <w:b/>
          <w:bCs/>
          <w:szCs w:val="24"/>
        </w:rPr>
      </w:pPr>
      <w:r w:rsidRPr="00712DDC">
        <w:rPr>
          <w:bCs/>
          <w:szCs w:val="24"/>
        </w:rPr>
        <w:t>Agricultural and Forest Covenant</w:t>
      </w:r>
      <w:r w:rsidRPr="00712DDC">
        <w:rPr>
          <w:b/>
          <w:bCs/>
          <w:szCs w:val="24"/>
        </w:rPr>
        <w:t xml:space="preserve"> - </w:t>
      </w:r>
      <w:r w:rsidRPr="00712DDC">
        <w:rPr>
          <w:szCs w:val="24"/>
        </w:rPr>
        <w:t xml:space="preserve">Any applicant for a </w:t>
      </w:r>
      <w:r w:rsidRPr="002A7F8B">
        <w:rPr>
          <w:szCs w:val="24"/>
        </w:rPr>
        <w:t>dwelling</w:t>
      </w:r>
      <w:r w:rsidRPr="00712DDC">
        <w:rPr>
          <w:b/>
          <w:i/>
          <w:szCs w:val="24"/>
        </w:rPr>
        <w:t xml:space="preserve"> </w:t>
      </w:r>
      <w:r w:rsidRPr="00712DDC">
        <w:rPr>
          <w:szCs w:val="24"/>
        </w:rPr>
        <w:t xml:space="preserve">permit adjacent to a Forest or Exclusive Farm Zone shall sign a statement on the </w:t>
      </w:r>
      <w:r w:rsidRPr="002A7F8B">
        <w:rPr>
          <w:szCs w:val="24"/>
        </w:rPr>
        <w:t>Compliance Determination</w:t>
      </w:r>
      <w:r w:rsidRPr="00712DDC">
        <w:rPr>
          <w:szCs w:val="24"/>
        </w:rPr>
        <w:t xml:space="preserve"> or Zoning Clearance Letter acknowledging that: “the normal intensive management practices occurring on adjacent resource land will not conflict with the rural residential landowner’s enjoyment of his or her property.</w:t>
      </w:r>
    </w:p>
    <w:p w:rsidR="00A653C9" w:rsidRPr="00712DDC" w:rsidRDefault="00A653C9" w:rsidP="00A653C9">
      <w:pPr>
        <w:pStyle w:val="ListParagraph"/>
        <w:numPr>
          <w:ilvl w:val="0"/>
          <w:numId w:val="6"/>
        </w:numPr>
        <w:rPr>
          <w:b/>
          <w:bCs/>
          <w:szCs w:val="24"/>
        </w:rPr>
      </w:pPr>
      <w:r w:rsidRPr="00712DDC">
        <w:rPr>
          <w:szCs w:val="24"/>
        </w:rPr>
        <w:t>Fences, Hedges, and Walls:</w:t>
      </w:r>
      <w:r w:rsidRPr="00712DDC">
        <w:rPr>
          <w:szCs w:val="24"/>
        </w:rPr>
        <w:tab/>
        <w:t>No requirement, but vision clearance provisions of Section 7.1.525 apply.</w:t>
      </w:r>
    </w:p>
    <w:p w:rsidR="00A653C9" w:rsidRPr="00712DDC" w:rsidRDefault="00A653C9" w:rsidP="00A653C9">
      <w:pPr>
        <w:pStyle w:val="ListParagraph"/>
        <w:numPr>
          <w:ilvl w:val="0"/>
          <w:numId w:val="6"/>
        </w:numPr>
        <w:rPr>
          <w:b/>
          <w:bCs/>
          <w:szCs w:val="24"/>
        </w:rPr>
      </w:pPr>
      <w:r w:rsidRPr="00712DDC">
        <w:rPr>
          <w:szCs w:val="24"/>
        </w:rPr>
        <w:t>Limitation on uses of manufactured dwellings/structures for commercial purposes pursuant to ORS 466 et seq.  Manufactured dwellings shall not be used for commercial purposes except:</w:t>
      </w:r>
    </w:p>
    <w:p w:rsidR="00A653C9" w:rsidRPr="00712DDC" w:rsidRDefault="00A653C9" w:rsidP="00A653C9">
      <w:pPr>
        <w:pStyle w:val="ListParagraph"/>
        <w:numPr>
          <w:ilvl w:val="1"/>
          <w:numId w:val="6"/>
        </w:numPr>
        <w:rPr>
          <w:b/>
          <w:bCs/>
          <w:szCs w:val="24"/>
        </w:rPr>
      </w:pPr>
      <w:r w:rsidRPr="00712DDC">
        <w:rPr>
          <w:szCs w:val="24"/>
        </w:rPr>
        <w:lastRenderedPageBreak/>
        <w:t>Where use of the manufactured dwelling for commercial purposes is authorized by the Building Codes Agency.</w:t>
      </w:r>
    </w:p>
    <w:p w:rsidR="00A653C9" w:rsidRPr="00712DDC" w:rsidRDefault="00A653C9" w:rsidP="00A653C9">
      <w:pPr>
        <w:pStyle w:val="ListParagraph"/>
        <w:numPr>
          <w:ilvl w:val="1"/>
          <w:numId w:val="6"/>
        </w:numPr>
        <w:ind w:right="-570"/>
        <w:rPr>
          <w:szCs w:val="24"/>
        </w:rPr>
      </w:pPr>
      <w:r w:rsidRPr="00712DDC">
        <w:rPr>
          <w:szCs w:val="24"/>
        </w:rPr>
        <w:t>Where used as a temporary sales office for manufactured structures; or</w:t>
      </w:r>
    </w:p>
    <w:p w:rsidR="00A653C9" w:rsidRPr="00712DDC" w:rsidRDefault="00A653C9" w:rsidP="00A653C9">
      <w:pPr>
        <w:pStyle w:val="ListParagraph"/>
        <w:numPr>
          <w:ilvl w:val="1"/>
          <w:numId w:val="6"/>
        </w:numPr>
        <w:ind w:right="-570"/>
        <w:rPr>
          <w:szCs w:val="24"/>
        </w:rPr>
      </w:pPr>
      <w:r w:rsidRPr="00712DDC">
        <w:rPr>
          <w:szCs w:val="24"/>
        </w:rPr>
        <w:t>As part of an approved home occupation. [OR-92-07-012PL]</w:t>
      </w:r>
    </w:p>
    <w:p w:rsidR="00A653C9" w:rsidRPr="00712DDC" w:rsidRDefault="00A653C9" w:rsidP="00A653C9">
      <w:pPr>
        <w:pStyle w:val="ListParagraph"/>
        <w:numPr>
          <w:ilvl w:val="0"/>
          <w:numId w:val="6"/>
        </w:numPr>
        <w:rPr>
          <w:b/>
          <w:bCs/>
          <w:szCs w:val="24"/>
        </w:rPr>
      </w:pPr>
      <w:r w:rsidRPr="00712DDC">
        <w:rPr>
          <w:szCs w:val="24"/>
        </w:rPr>
        <w:t xml:space="preserve">New lots or parcels - Creation of lots or parcels, unless it meets the circumstances of § 5.6.130, shall meet the street frontage, lot width, lot depth and lot size. Minimum road frontage/lot width </w:t>
      </w:r>
      <w:r w:rsidRPr="002A7F8B">
        <w:rPr>
          <w:szCs w:val="24"/>
        </w:rPr>
        <w:t>shall be met unless</w:t>
      </w:r>
      <w:r w:rsidRPr="00712DDC">
        <w:rPr>
          <w:szCs w:val="24"/>
        </w:rPr>
        <w:t xml:space="preserve"> waived by the Planning Director in consultation with the County Surveyor and County </w:t>
      </w:r>
      <w:proofErr w:type="spellStart"/>
      <w:r w:rsidRPr="00712DDC">
        <w:rPr>
          <w:szCs w:val="24"/>
        </w:rPr>
        <w:t>Roadmaster</w:t>
      </w:r>
      <w:proofErr w:type="spellEnd"/>
      <w:r w:rsidRPr="00712DDC">
        <w:rPr>
          <w:szCs w:val="24"/>
        </w:rPr>
        <w:t xml:space="preserve"> due to creating an unsafe or irregular configuration:</w:t>
      </w:r>
    </w:p>
    <w:p w:rsidR="00A653C9" w:rsidRPr="00712DDC" w:rsidRDefault="00A653C9" w:rsidP="00A653C9">
      <w:pPr>
        <w:pStyle w:val="ListParagraph"/>
        <w:numPr>
          <w:ilvl w:val="1"/>
          <w:numId w:val="6"/>
        </w:numPr>
        <w:rPr>
          <w:b/>
          <w:bCs/>
          <w:szCs w:val="24"/>
        </w:rPr>
      </w:pPr>
      <w:r w:rsidRPr="00712DDC">
        <w:rPr>
          <w:szCs w:val="24"/>
        </w:rPr>
        <w:t xml:space="preserve">Minimum Street frontage should be at least 30 feet; and </w:t>
      </w:r>
    </w:p>
    <w:p w:rsidR="00A653C9" w:rsidRPr="00712DDC" w:rsidRDefault="00A653C9" w:rsidP="00A653C9">
      <w:pPr>
        <w:pStyle w:val="ListParagraph"/>
        <w:numPr>
          <w:ilvl w:val="1"/>
          <w:numId w:val="6"/>
        </w:numPr>
        <w:rPr>
          <w:b/>
          <w:bCs/>
          <w:szCs w:val="24"/>
        </w:rPr>
      </w:pPr>
      <w:r w:rsidRPr="00712DDC">
        <w:rPr>
          <w:szCs w:val="24"/>
        </w:rPr>
        <w:t>Minimum lot width and Minimum lot depth is 50 feet.</w:t>
      </w:r>
    </w:p>
    <w:p w:rsidR="00A653C9" w:rsidRPr="002A7F8B" w:rsidRDefault="00A653C9" w:rsidP="00A653C9">
      <w:pPr>
        <w:ind w:left="720"/>
        <w:rPr>
          <w:szCs w:val="24"/>
        </w:rPr>
      </w:pPr>
      <w:r w:rsidRPr="002A7F8B">
        <w:rPr>
          <w:bCs/>
          <w:szCs w:val="24"/>
        </w:rPr>
        <w:t xml:space="preserve">Minimum parcel/lot size cannot be waived or varied unless otherwise provided by a specific zoning regulation.  </w:t>
      </w:r>
      <w:r w:rsidRPr="002A7F8B">
        <w:rPr>
          <w:szCs w:val="24"/>
        </w:rPr>
        <w:t>Tax lot creation and consolidations do not change the legally created status of a lot or parcel</w:t>
      </w:r>
      <w:r>
        <w:rPr>
          <w:szCs w:val="24"/>
        </w:rPr>
        <w:t>.</w:t>
      </w:r>
      <w:r w:rsidRPr="002A7F8B">
        <w:rPr>
          <w:szCs w:val="24"/>
        </w:rPr>
        <w:t xml:space="preserve"> </w:t>
      </w:r>
    </w:p>
    <w:p w:rsidR="00A653C9" w:rsidRPr="00712DDC" w:rsidRDefault="00A653C9" w:rsidP="00A653C9">
      <w:pPr>
        <w:pStyle w:val="Header"/>
        <w:numPr>
          <w:ilvl w:val="0"/>
          <w:numId w:val="6"/>
        </w:numPr>
        <w:tabs>
          <w:tab w:val="clear" w:pos="4680"/>
          <w:tab w:val="clear" w:pos="9360"/>
        </w:tabs>
        <w:rPr>
          <w:szCs w:val="24"/>
        </w:rPr>
      </w:pPr>
      <w:r w:rsidRPr="00712DDC">
        <w:rPr>
          <w:szCs w:val="24"/>
        </w:rPr>
        <w:t>Parking - Off-street access, parking and loading requirements per Chapter VII apply.</w:t>
      </w:r>
    </w:p>
    <w:p w:rsidR="00A653C9" w:rsidRPr="00712DDC" w:rsidRDefault="00A653C9" w:rsidP="00A653C9">
      <w:pPr>
        <w:pStyle w:val="ListParagraph"/>
        <w:numPr>
          <w:ilvl w:val="0"/>
          <w:numId w:val="6"/>
        </w:numPr>
        <w:rPr>
          <w:szCs w:val="24"/>
        </w:rPr>
      </w:pPr>
      <w:r w:rsidRPr="00712DDC">
        <w:rPr>
          <w:szCs w:val="24"/>
        </w:rPr>
        <w:t xml:space="preserve">Riparian - </w:t>
      </w:r>
    </w:p>
    <w:p w:rsidR="00A653C9" w:rsidRPr="00712DDC" w:rsidRDefault="00A653C9" w:rsidP="00A653C9">
      <w:pPr>
        <w:pStyle w:val="ListParagraph"/>
        <w:numPr>
          <w:ilvl w:val="1"/>
          <w:numId w:val="6"/>
        </w:numPr>
        <w:rPr>
          <w:szCs w:val="24"/>
        </w:rPr>
      </w:pPr>
      <w:r w:rsidRPr="00712DDC">
        <w:rPr>
          <w:szCs w:val="24"/>
        </w:rPr>
        <w:t>Riparian vegetation setback within 50 feet of a estuarine wetland, stream, lake or river, as identified on the Coastal Shoreland and Fish and Wildlife habitat inventory maps, shall be maintained except:</w:t>
      </w:r>
    </w:p>
    <w:p w:rsidR="00A653C9" w:rsidRPr="00712DDC" w:rsidRDefault="00A653C9" w:rsidP="00A653C9">
      <w:pPr>
        <w:pStyle w:val="ListParagraph"/>
        <w:numPr>
          <w:ilvl w:val="2"/>
          <w:numId w:val="6"/>
        </w:numPr>
        <w:rPr>
          <w:szCs w:val="24"/>
        </w:rPr>
      </w:pPr>
      <w:r w:rsidRPr="00712DDC">
        <w:rPr>
          <w:szCs w:val="24"/>
        </w:rPr>
        <w:t xml:space="preserve">Trees certified as posing an erosion or safety hazard. Property owner is responsible for ensuring compliance with all local, state and federal agencies for the removal of the tree. </w:t>
      </w:r>
    </w:p>
    <w:p w:rsidR="00A653C9" w:rsidRPr="00712DDC" w:rsidRDefault="00A653C9" w:rsidP="00A653C9">
      <w:pPr>
        <w:pStyle w:val="ListParagraph"/>
        <w:numPr>
          <w:ilvl w:val="2"/>
          <w:numId w:val="6"/>
        </w:numPr>
        <w:rPr>
          <w:szCs w:val="24"/>
        </w:rPr>
      </w:pPr>
      <w:r w:rsidRPr="00712DDC">
        <w:rPr>
          <w:szCs w:val="24"/>
        </w:rPr>
        <w:t xml:space="preserve">Riparian vegetation may be removed to provide direct access for a water-dependent use if it is a listed permitted within the zoning district; </w:t>
      </w:r>
    </w:p>
    <w:p w:rsidR="00A653C9" w:rsidRPr="00712DDC" w:rsidRDefault="00A653C9" w:rsidP="00A653C9">
      <w:pPr>
        <w:pStyle w:val="ListParagraph"/>
        <w:numPr>
          <w:ilvl w:val="2"/>
          <w:numId w:val="6"/>
        </w:numPr>
        <w:rPr>
          <w:szCs w:val="24"/>
        </w:rPr>
      </w:pPr>
      <w:r w:rsidRPr="00712DDC">
        <w:rPr>
          <w:szCs w:val="24"/>
        </w:rPr>
        <w:t xml:space="preserve">Riparian vegetation may be removed in order to allow establishment of authorized structural shoreline stabilization measures; </w:t>
      </w:r>
    </w:p>
    <w:p w:rsidR="00A653C9" w:rsidRPr="00712DDC" w:rsidRDefault="00A653C9" w:rsidP="00A653C9">
      <w:pPr>
        <w:pStyle w:val="ListParagraph"/>
        <w:numPr>
          <w:ilvl w:val="2"/>
          <w:numId w:val="6"/>
        </w:numPr>
        <w:rPr>
          <w:szCs w:val="24"/>
        </w:rPr>
      </w:pPr>
      <w:r w:rsidRPr="00712DDC">
        <w:rPr>
          <w:szCs w:val="24"/>
        </w:rPr>
        <w:t xml:space="preserve">Riparian vegetation may be removed to facilitate stream or stream bank clearance projects under a port district, ODFW, BLM, Soil &amp; Water Conservation District, or USFS stream enhancement plan; </w:t>
      </w:r>
    </w:p>
    <w:p w:rsidR="00A653C9" w:rsidRPr="00712DDC" w:rsidRDefault="00A653C9" w:rsidP="00A653C9">
      <w:pPr>
        <w:pStyle w:val="ListParagraph"/>
        <w:numPr>
          <w:ilvl w:val="2"/>
          <w:numId w:val="6"/>
        </w:numPr>
        <w:rPr>
          <w:szCs w:val="24"/>
        </w:rPr>
      </w:pPr>
      <w:r w:rsidRPr="00712DDC">
        <w:rPr>
          <w:szCs w:val="24"/>
        </w:rPr>
        <w:t>Riparian vegetation may be removed in order to site or properly maintain public utilities and road right-of-ways;</w:t>
      </w:r>
    </w:p>
    <w:p w:rsidR="00A653C9" w:rsidRPr="00712DDC" w:rsidRDefault="00A653C9" w:rsidP="00A653C9">
      <w:pPr>
        <w:pStyle w:val="ListParagraph"/>
        <w:numPr>
          <w:ilvl w:val="2"/>
          <w:numId w:val="6"/>
        </w:numPr>
        <w:rPr>
          <w:szCs w:val="24"/>
        </w:rPr>
      </w:pPr>
      <w:r w:rsidRPr="00712DDC">
        <w:rPr>
          <w:szCs w:val="24"/>
        </w:rPr>
        <w:t>Riparian vegetation may be removed in conjunction with existing agricultural operations (e.g., to site or maintain irrigation pumps, to limit encroaching brush, to allow harvesting farm crops customarily grown within riparian corridors, etc.) provided that such vegetation removal does not encroach further into the vegetation buffer except as needed to provide an access to the water to site or maintain irrigation pumps; or</w:t>
      </w:r>
    </w:p>
    <w:p w:rsidR="00A653C9" w:rsidRPr="00712DDC" w:rsidRDefault="00A653C9" w:rsidP="00A653C9">
      <w:pPr>
        <w:pStyle w:val="ListParagraph"/>
        <w:numPr>
          <w:ilvl w:val="2"/>
          <w:numId w:val="6"/>
        </w:numPr>
        <w:rPr>
          <w:szCs w:val="24"/>
        </w:rPr>
      </w:pPr>
      <w:r w:rsidRPr="00712DDC">
        <w:rPr>
          <w:szCs w:val="24"/>
        </w:rPr>
        <w:t>The 50 foot riparian vegetation setback shall not apply in any instance where an existing structure was lawfully established and an addition or alteration to said structure is to be sited not closer to the estuarine wetland, stream, lake, or river than the existing structure and said addition or alteration</w:t>
      </w:r>
      <w:r w:rsidRPr="002C73D1">
        <w:rPr>
          <w:szCs w:val="24"/>
        </w:rPr>
        <w:t xml:space="preserve"> is</w:t>
      </w:r>
      <w:r w:rsidRPr="00712DDC">
        <w:rPr>
          <w:b/>
          <w:i/>
          <w:szCs w:val="24"/>
        </w:rPr>
        <w:t xml:space="preserve"> </w:t>
      </w:r>
      <w:r w:rsidRPr="00712DDC">
        <w:rPr>
          <w:szCs w:val="24"/>
        </w:rPr>
        <w:t>not more than 100% of the size of the existing structure’s “footprint”.</w:t>
      </w:r>
    </w:p>
    <w:p w:rsidR="00A653C9" w:rsidRPr="00712DDC" w:rsidRDefault="00A653C9" w:rsidP="00A653C9">
      <w:pPr>
        <w:pStyle w:val="ListParagraph"/>
        <w:numPr>
          <w:ilvl w:val="1"/>
          <w:numId w:val="6"/>
        </w:numPr>
        <w:rPr>
          <w:szCs w:val="24"/>
        </w:rPr>
      </w:pPr>
      <w:r w:rsidRPr="00712DDC">
        <w:rPr>
          <w:szCs w:val="24"/>
        </w:rPr>
        <w:lastRenderedPageBreak/>
        <w:t xml:space="preserve">Riparian removal within the Coastal Shoreland Boundary </w:t>
      </w:r>
      <w:r w:rsidRPr="002A7F8B">
        <w:rPr>
          <w:szCs w:val="24"/>
        </w:rPr>
        <w:t>requires an Administrative</w:t>
      </w:r>
      <w:r w:rsidRPr="00712DDC">
        <w:rPr>
          <w:szCs w:val="24"/>
        </w:rPr>
        <w:t xml:space="preserve"> Conditional Use</w:t>
      </w:r>
      <w:r w:rsidRPr="00712DDC">
        <w:rPr>
          <w:b/>
          <w:i/>
          <w:szCs w:val="24"/>
        </w:rPr>
        <w:t xml:space="preserve"> </w:t>
      </w:r>
      <w:r w:rsidRPr="002A7F8B">
        <w:rPr>
          <w:szCs w:val="24"/>
        </w:rPr>
        <w:t>application and review.</w:t>
      </w:r>
      <w:r w:rsidRPr="00712DDC">
        <w:rPr>
          <w:szCs w:val="24"/>
        </w:rPr>
        <w:t xml:space="preserve">  See Special Development Considerations Coastal Shoreland Boundary. </w:t>
      </w:r>
    </w:p>
    <w:p w:rsidR="00A653C9" w:rsidRPr="00712DDC" w:rsidRDefault="00A653C9" w:rsidP="00A653C9">
      <w:pPr>
        <w:pStyle w:val="ListParagraph"/>
        <w:numPr>
          <w:ilvl w:val="1"/>
          <w:numId w:val="6"/>
        </w:numPr>
        <w:rPr>
          <w:szCs w:val="24"/>
        </w:rPr>
      </w:pPr>
      <w:r w:rsidRPr="00712DDC">
        <w:rPr>
          <w:szCs w:val="24"/>
        </w:rPr>
        <w:t>The 50’ measurement shall be taken from the closest point of the ordinary high water mark to the structure using a right angle from the ordinary high water mark.</w:t>
      </w:r>
    </w:p>
    <w:p w:rsidR="00A653C9" w:rsidRPr="00712DDC" w:rsidRDefault="00A653C9" w:rsidP="00A653C9">
      <w:pPr>
        <w:pStyle w:val="ListParagraph"/>
        <w:numPr>
          <w:ilvl w:val="0"/>
          <w:numId w:val="6"/>
        </w:numPr>
        <w:rPr>
          <w:szCs w:val="24"/>
        </w:rPr>
      </w:pPr>
      <w:r w:rsidRPr="00712DDC">
        <w:rPr>
          <w:szCs w:val="24"/>
        </w:rPr>
        <w:t>Setbacks:</w:t>
      </w:r>
    </w:p>
    <w:p w:rsidR="00A653C9" w:rsidRPr="00712DDC" w:rsidRDefault="00A653C9" w:rsidP="00A653C9">
      <w:pPr>
        <w:pStyle w:val="ListParagraph"/>
        <w:numPr>
          <w:ilvl w:val="1"/>
          <w:numId w:val="6"/>
        </w:numPr>
        <w:rPr>
          <w:szCs w:val="24"/>
        </w:rPr>
      </w:pPr>
      <w:r w:rsidRPr="00712DDC">
        <w:rPr>
          <w:szCs w:val="24"/>
        </w:rPr>
        <w:t xml:space="preserve">All </w:t>
      </w:r>
      <w:r>
        <w:rPr>
          <w:szCs w:val="24"/>
        </w:rPr>
        <w:t>Development</w:t>
      </w:r>
      <w:r w:rsidRPr="00712DDC">
        <w:rPr>
          <w:szCs w:val="24"/>
        </w:rPr>
        <w:t xml:space="preserve"> with the exception of fences shall be set back a minimum of thirty-five (35) feet from any road right-of-way centerline, or five (5) feet from the right-of-way line, whichever is greater.  This setback may be greater under specific zoning </w:t>
      </w:r>
      <w:proofErr w:type="spellStart"/>
      <w:r w:rsidRPr="00712DDC">
        <w:rPr>
          <w:szCs w:val="24"/>
        </w:rPr>
        <w:t>siting</w:t>
      </w:r>
      <w:proofErr w:type="spellEnd"/>
      <w:r w:rsidRPr="00712DDC">
        <w:rPr>
          <w:szCs w:val="24"/>
        </w:rPr>
        <w:t xml:space="preserve"> requirements. </w:t>
      </w:r>
    </w:p>
    <w:p w:rsidR="00A653C9" w:rsidRDefault="00A653C9" w:rsidP="00A653C9">
      <w:pPr>
        <w:pStyle w:val="ListParagraph"/>
        <w:numPr>
          <w:ilvl w:val="1"/>
          <w:numId w:val="6"/>
        </w:numPr>
        <w:rPr>
          <w:szCs w:val="24"/>
        </w:rPr>
      </w:pPr>
      <w:r w:rsidRPr="00712DDC">
        <w:rPr>
          <w:szCs w:val="24"/>
        </w:rPr>
        <w:t xml:space="preserve">Firebreak Setback - New or replacement dwellings on lots, parcels or tracts abutting the “Forest” zone shall establish and maintain a firebreak, for a distance of at least 30 feet in all directions.  Vegetation within this firebreak may include mowed grasses, low shrubs (less than ground floor window height), and trees that are spaced with more than 15 feet between the crowns and pruned to remove dead and low (less than 8 feet from the ground) branches.  Accumulated needles, limbs and other dead vegetation should be removed from beneath trees.  </w:t>
      </w:r>
    </w:p>
    <w:p w:rsidR="00A653C9" w:rsidRDefault="00A653C9" w:rsidP="00A653C9">
      <w:pPr>
        <w:pStyle w:val="ListParagraph"/>
        <w:numPr>
          <w:ilvl w:val="0"/>
          <w:numId w:val="6"/>
        </w:numPr>
        <w:rPr>
          <w:szCs w:val="24"/>
        </w:rPr>
      </w:pPr>
      <w:r w:rsidRPr="004B1C9A">
        <w:t>OUTDOOR STORAGE IN RESIDENTIAL ZONES (a) Boats and trailers, travel trailers, pick-up campers or coaches, motorized dwellings, and similar recreation equipment may be stored on a lot but not used as an accessory use; (b) Automotive vehicles or trailers of any kind or type without current license plates, where required, and which are not in mechanical working order, shall not be parked or stored on any residentially zoned property other than in completely enclosed buildings; (c) One operating truck may be stored on the lot of a truck driver provided it is accessory to the main use of the property. Additional trucks shall not be allowed.</w:t>
      </w:r>
    </w:p>
    <w:p w:rsidR="00A653C9" w:rsidRDefault="00A653C9" w:rsidP="00A653C9">
      <w:pPr>
        <w:pStyle w:val="Heading3"/>
      </w:pPr>
      <w:bookmarkStart w:id="2" w:name="_Toc29205598"/>
    </w:p>
    <w:p w:rsidR="00A653C9" w:rsidRPr="00712DDC" w:rsidRDefault="00A653C9" w:rsidP="00A653C9">
      <w:pPr>
        <w:pStyle w:val="Heading3"/>
        <w:rPr>
          <w:szCs w:val="24"/>
        </w:rPr>
      </w:pPr>
      <w:r w:rsidRPr="00162362">
        <w:t>Recreation (REC), South Slough (SS) and Minor Estuary and Shoreland (MES)</w:t>
      </w:r>
      <w:r w:rsidRPr="00712DDC">
        <w:rPr>
          <w:szCs w:val="24"/>
        </w:rPr>
        <w:t xml:space="preserve"> –</w:t>
      </w:r>
      <w:bookmarkEnd w:id="2"/>
      <w:r w:rsidRPr="00712DDC">
        <w:rPr>
          <w:szCs w:val="24"/>
        </w:rPr>
        <w:t xml:space="preserve"> </w:t>
      </w:r>
    </w:p>
    <w:p w:rsidR="00A653C9" w:rsidRPr="00712DDC" w:rsidRDefault="00A653C9" w:rsidP="00A653C9">
      <w:pPr>
        <w:pStyle w:val="Header"/>
        <w:tabs>
          <w:tab w:val="clear" w:pos="4680"/>
          <w:tab w:val="clear" w:pos="9360"/>
        </w:tabs>
        <w:ind w:left="360"/>
        <w:rPr>
          <w:szCs w:val="24"/>
        </w:rPr>
      </w:pPr>
    </w:p>
    <w:p w:rsidR="00A653C9" w:rsidRPr="00162362" w:rsidRDefault="00A653C9" w:rsidP="00A653C9">
      <w:pPr>
        <w:pStyle w:val="ListParagraph"/>
        <w:numPr>
          <w:ilvl w:val="1"/>
          <w:numId w:val="7"/>
        </w:numPr>
      </w:pPr>
      <w:r w:rsidRPr="00162362">
        <w:t xml:space="preserve">Minimum lot/parcel size – There are no required minimum lot/parcel sizes. </w:t>
      </w:r>
    </w:p>
    <w:p w:rsidR="00A653C9" w:rsidRPr="00162362" w:rsidRDefault="00A653C9" w:rsidP="00A653C9"/>
    <w:p w:rsidR="00A653C9" w:rsidRPr="00162362" w:rsidRDefault="00A653C9" w:rsidP="00A653C9">
      <w:pPr>
        <w:pStyle w:val="ListParagraph"/>
        <w:numPr>
          <w:ilvl w:val="1"/>
          <w:numId w:val="7"/>
        </w:numPr>
      </w:pPr>
      <w:r w:rsidRPr="00162362">
        <w:t>Setback - There are no required setbacks.</w:t>
      </w:r>
    </w:p>
    <w:p w:rsidR="00A653C9" w:rsidRPr="00162362" w:rsidRDefault="00A653C9" w:rsidP="00A653C9"/>
    <w:p w:rsidR="00A653C9" w:rsidRPr="00162362" w:rsidRDefault="00A653C9" w:rsidP="00A653C9">
      <w:pPr>
        <w:pStyle w:val="ListParagraph"/>
        <w:numPr>
          <w:ilvl w:val="1"/>
          <w:numId w:val="7"/>
        </w:numPr>
      </w:pPr>
      <w:r w:rsidRPr="00162362">
        <w:t xml:space="preserve">Building Height – There are no building height requirements. </w:t>
      </w:r>
    </w:p>
    <w:p w:rsidR="00A653C9" w:rsidRPr="00162362" w:rsidRDefault="00A653C9" w:rsidP="00A653C9"/>
    <w:p w:rsidR="00A653C9" w:rsidRPr="00162362" w:rsidRDefault="00A653C9" w:rsidP="00A653C9">
      <w:pPr>
        <w:pStyle w:val="ListParagraph"/>
        <w:numPr>
          <w:ilvl w:val="1"/>
          <w:numId w:val="7"/>
        </w:numPr>
      </w:pPr>
      <w:r w:rsidRPr="00162362">
        <w:rPr>
          <w:rFonts w:eastAsiaTheme="minorHAnsi"/>
        </w:rPr>
        <w:t>Building Density or Size limits –</w:t>
      </w:r>
      <w:r w:rsidRPr="00162362">
        <w:t xml:space="preserve"> There are no building or size limits.</w:t>
      </w:r>
    </w:p>
    <w:p w:rsidR="0057554F" w:rsidRDefault="0057554F"/>
    <w:sectPr w:rsidR="0057554F" w:rsidSect="006F6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401"/>
    <w:multiLevelType w:val="hybridMultilevel"/>
    <w:tmpl w:val="52840656"/>
    <w:lvl w:ilvl="0" w:tplc="0136AD54">
      <w:start w:val="3"/>
      <w:numFmt w:val="decimal"/>
      <w:lvlText w:val="(%1)"/>
      <w:lvlJc w:val="left"/>
      <w:pPr>
        <w:ind w:left="720" w:hanging="360"/>
      </w:pPr>
      <w:rPr>
        <w:rFonts w:hint="default"/>
        <w:b w:val="0"/>
        <w:i w:val="0"/>
        <w:strike w:val="0"/>
      </w:rPr>
    </w:lvl>
    <w:lvl w:ilvl="1" w:tplc="9A705BA0">
      <w:start w:val="1"/>
      <w:numFmt w:val="lowerLetter"/>
      <w:lvlText w:val="(%2)"/>
      <w:lvlJc w:val="left"/>
      <w:pPr>
        <w:ind w:left="1440" w:hanging="360"/>
      </w:pPr>
      <w:rPr>
        <w:rFonts w:hint="default"/>
      </w:rPr>
    </w:lvl>
    <w:lvl w:ilvl="2" w:tplc="EE0A7ADA">
      <w:start w:val="1"/>
      <w:numFmt w:val="decimal"/>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74898"/>
    <w:multiLevelType w:val="hybridMultilevel"/>
    <w:tmpl w:val="4CD03446"/>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868A3"/>
    <w:multiLevelType w:val="hybridMultilevel"/>
    <w:tmpl w:val="FB103B58"/>
    <w:lvl w:ilvl="0" w:tplc="6916D14E">
      <w:start w:val="7"/>
      <w:numFmt w:val="decimal"/>
      <w:lvlText w:val="(%1)"/>
      <w:lvlJc w:val="left"/>
      <w:pPr>
        <w:ind w:left="234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37945"/>
    <w:multiLevelType w:val="hybridMultilevel"/>
    <w:tmpl w:val="AC6E81BA"/>
    <w:lvl w:ilvl="0" w:tplc="9A705BA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F0E1F"/>
    <w:multiLevelType w:val="hybridMultilevel"/>
    <w:tmpl w:val="4910572E"/>
    <w:lvl w:ilvl="0" w:tplc="EE0A7ADA">
      <w:start w:val="1"/>
      <w:numFmt w:val="decimal"/>
      <w:lvlText w:val="(%1)"/>
      <w:lvlJc w:val="left"/>
      <w:pPr>
        <w:ind w:left="840" w:hanging="360"/>
      </w:pPr>
      <w:rPr>
        <w:rFonts w:hint="default"/>
        <w:b w:val="0"/>
      </w:rPr>
    </w:lvl>
    <w:lvl w:ilvl="1" w:tplc="9A705BA0">
      <w:start w:val="1"/>
      <w:numFmt w:val="lowerLetter"/>
      <w:lvlText w:val="(%2)"/>
      <w:lvlJc w:val="left"/>
      <w:pPr>
        <w:ind w:left="1440" w:hanging="360"/>
      </w:pPr>
      <w:rPr>
        <w:rFonts w:hint="default"/>
      </w:rPr>
    </w:lvl>
    <w:lvl w:ilvl="2" w:tplc="ABBCBA76">
      <w:start w:val="1"/>
      <w:numFmt w:val="lowerRoman"/>
      <w:lvlText w:val="(%3)"/>
      <w:lvlJc w:val="right"/>
      <w:pPr>
        <w:ind w:left="2160" w:hanging="180"/>
      </w:pPr>
      <w:rPr>
        <w:rFonts w:hint="default"/>
        <w:b w:val="0"/>
        <w:i w:val="0"/>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17F1B"/>
    <w:multiLevelType w:val="hybridMultilevel"/>
    <w:tmpl w:val="1B48F41C"/>
    <w:lvl w:ilvl="0" w:tplc="431276FC">
      <w:start w:val="27"/>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53CD2929"/>
    <w:multiLevelType w:val="hybridMultilevel"/>
    <w:tmpl w:val="17A214D8"/>
    <w:lvl w:ilvl="0" w:tplc="F170E100">
      <w:start w:val="1"/>
      <w:numFmt w:val="decimal"/>
      <w:lvlText w:val="(%1)"/>
      <w:lvlJc w:val="left"/>
      <w:pPr>
        <w:ind w:left="720" w:hanging="360"/>
      </w:pPr>
      <w:rPr>
        <w:rFonts w:hint="default"/>
        <w:b w:val="0"/>
        <w:i w:val="0"/>
        <w:strike w:val="0"/>
      </w:rPr>
    </w:lvl>
    <w:lvl w:ilvl="1" w:tplc="9A705BA0">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54F"/>
    <w:rsid w:val="001F5269"/>
    <w:rsid w:val="0057554F"/>
    <w:rsid w:val="006F6D3C"/>
    <w:rsid w:val="0086640F"/>
    <w:rsid w:val="00A653C9"/>
    <w:rsid w:val="00BD4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3C"/>
  </w:style>
  <w:style w:type="paragraph" w:styleId="Heading2">
    <w:name w:val="heading 2"/>
    <w:basedOn w:val="Normal"/>
    <w:next w:val="Normal"/>
    <w:link w:val="Heading2Char"/>
    <w:uiPriority w:val="99"/>
    <w:unhideWhenUsed/>
    <w:qFormat/>
    <w:rsid w:val="00A653C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Subtitle"/>
    <w:next w:val="Title"/>
    <w:link w:val="Heading3Char"/>
    <w:uiPriority w:val="99"/>
    <w:qFormat/>
    <w:rsid w:val="00A653C9"/>
    <w:pPr>
      <w:numPr>
        <w:ilvl w:val="0"/>
      </w:numPr>
      <w:spacing w:after="0" w:line="240" w:lineRule="auto"/>
      <w:ind w:right="-570"/>
      <w:outlineLvl w:val="2"/>
    </w:pPr>
    <w:rPr>
      <w:rFonts w:ascii="Times New Roman" w:hAnsi="Times New Roman" w:cs="Times New Roman"/>
      <w:b/>
      <w:bCs/>
      <w:iCs w:val="0"/>
      <w:color w:val="C0504D" w:themeColor="accent2"/>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554F"/>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9"/>
    <w:rsid w:val="00A653C9"/>
    <w:rPr>
      <w:rFonts w:ascii="Times New Roman" w:eastAsiaTheme="majorEastAsia" w:hAnsi="Times New Roman" w:cs="Times New Roman"/>
      <w:b/>
      <w:bCs/>
      <w:i/>
      <w:color w:val="C0504D" w:themeColor="accent2"/>
    </w:rPr>
  </w:style>
  <w:style w:type="paragraph" w:styleId="Header">
    <w:name w:val="header"/>
    <w:basedOn w:val="Normal"/>
    <w:link w:val="HeaderChar"/>
    <w:unhideWhenUsed/>
    <w:rsid w:val="00A653C9"/>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653C9"/>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A653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53C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A653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53C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9"/>
    <w:rsid w:val="00A653C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6699</Characters>
  <Application>Microsoft Office Word</Application>
  <DocSecurity>0</DocSecurity>
  <Lines>55</Lines>
  <Paragraphs>15</Paragraphs>
  <ScaleCrop>false</ScaleCrop>
  <Company>Coos County</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dc:creator>
  <cp:lastModifiedBy>corr</cp:lastModifiedBy>
  <cp:revision>2</cp:revision>
  <dcterms:created xsi:type="dcterms:W3CDTF">2020-10-22T16:45:00Z</dcterms:created>
  <dcterms:modified xsi:type="dcterms:W3CDTF">2020-10-22T16:50:00Z</dcterms:modified>
</cp:coreProperties>
</file>