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Ind w:w="93" w:type="dxa"/>
        <w:tblLayout w:type="fixed"/>
        <w:tblLook w:val="04A0"/>
      </w:tblPr>
      <w:tblGrid>
        <w:gridCol w:w="825"/>
        <w:gridCol w:w="6315"/>
        <w:gridCol w:w="900"/>
        <w:gridCol w:w="1965"/>
      </w:tblGrid>
      <w:tr w:rsidR="005C096C" w:rsidRPr="001D589F" w:rsidTr="008A56C3">
        <w:trPr>
          <w:cantSplit/>
          <w:trHeight w:val="305"/>
        </w:trPr>
        <w:tc>
          <w:tcPr>
            <w:tcW w:w="825" w:type="dxa"/>
            <w:tcBorders>
              <w:top w:val="nil"/>
              <w:left w:val="single" w:sz="4" w:space="0" w:color="auto"/>
              <w:bottom w:val="single" w:sz="4" w:space="0" w:color="auto"/>
              <w:right w:val="single" w:sz="4" w:space="0" w:color="auto"/>
            </w:tcBorders>
          </w:tcPr>
          <w:p w:rsidR="005C096C" w:rsidRPr="007F5498" w:rsidRDefault="005C096C" w:rsidP="005C096C">
            <w:pPr>
              <w:pStyle w:val="ListParagraph"/>
              <w:numPr>
                <w:ilvl w:val="0"/>
                <w:numId w:val="1"/>
              </w:numPr>
              <w:rPr>
                <w:szCs w:val="22"/>
              </w:rPr>
            </w:pPr>
          </w:p>
        </w:tc>
        <w:tc>
          <w:tcPr>
            <w:tcW w:w="6315" w:type="dxa"/>
            <w:tcBorders>
              <w:top w:val="nil"/>
              <w:left w:val="single" w:sz="4" w:space="0" w:color="auto"/>
              <w:bottom w:val="single" w:sz="4" w:space="0" w:color="auto"/>
              <w:right w:val="single" w:sz="4" w:space="0" w:color="auto"/>
            </w:tcBorders>
            <w:shd w:val="clear" w:color="auto" w:fill="auto"/>
            <w:noWrap/>
            <w:hideMark/>
          </w:tcPr>
          <w:p w:rsidR="005C096C" w:rsidRPr="003C4EE2" w:rsidRDefault="005C096C" w:rsidP="008A56C3">
            <w:pPr>
              <w:rPr>
                <w:color w:val="000000"/>
                <w:szCs w:val="22"/>
              </w:rPr>
            </w:pPr>
            <w:r w:rsidRPr="003C4EE2">
              <w:rPr>
                <w:sz w:val="22"/>
                <w:szCs w:val="22"/>
              </w:rPr>
              <w:t>Home occupations as defined in ORS 215.448 (this includes cottage industries);</w:t>
            </w:r>
          </w:p>
        </w:tc>
        <w:tc>
          <w:tcPr>
            <w:tcW w:w="900" w:type="dxa"/>
            <w:tcBorders>
              <w:top w:val="nil"/>
              <w:left w:val="nil"/>
              <w:bottom w:val="single" w:sz="4" w:space="0" w:color="auto"/>
              <w:right w:val="single" w:sz="4" w:space="0" w:color="auto"/>
            </w:tcBorders>
            <w:shd w:val="clear" w:color="auto" w:fill="auto"/>
          </w:tcPr>
          <w:p w:rsidR="005C096C" w:rsidRDefault="005C096C" w:rsidP="008A56C3">
            <w:r w:rsidRPr="0007272C">
              <w:rPr>
                <w:color w:val="000000"/>
                <w:szCs w:val="22"/>
              </w:rPr>
              <w:t>ACU</w:t>
            </w:r>
          </w:p>
        </w:tc>
        <w:tc>
          <w:tcPr>
            <w:tcW w:w="1965" w:type="dxa"/>
            <w:tcBorders>
              <w:top w:val="nil"/>
              <w:left w:val="nil"/>
              <w:bottom w:val="single" w:sz="4" w:space="0" w:color="auto"/>
              <w:right w:val="single" w:sz="4" w:space="0" w:color="auto"/>
            </w:tcBorders>
            <w:shd w:val="clear" w:color="auto" w:fill="auto"/>
          </w:tcPr>
          <w:p w:rsidR="005C096C" w:rsidRPr="001D589F" w:rsidRDefault="005C096C" w:rsidP="008A56C3">
            <w:pPr>
              <w:jc w:val="center"/>
              <w:rPr>
                <w:color w:val="000000"/>
              </w:rPr>
            </w:pPr>
            <w:r w:rsidRPr="00E12C31">
              <w:rPr>
                <w:color w:val="000000"/>
                <w:szCs w:val="22"/>
              </w:rPr>
              <w:t>(4)(</w:t>
            </w:r>
            <w:r>
              <w:rPr>
                <w:color w:val="000000"/>
                <w:szCs w:val="22"/>
              </w:rPr>
              <w:t>s</w:t>
            </w:r>
            <w:r w:rsidRPr="00E12C31">
              <w:rPr>
                <w:color w:val="000000"/>
                <w:szCs w:val="22"/>
              </w:rPr>
              <w:t>)</w:t>
            </w:r>
            <w:r>
              <w:rPr>
                <w:color w:val="000000"/>
                <w:szCs w:val="22"/>
              </w:rPr>
              <w:t>, (5)</w:t>
            </w:r>
          </w:p>
        </w:tc>
      </w:tr>
    </w:tbl>
    <w:p w:rsidR="005C096C" w:rsidRPr="005258DE" w:rsidRDefault="005C096C" w:rsidP="005C096C">
      <w:pPr>
        <w:spacing w:before="100" w:beforeAutospacing="1" w:after="100" w:afterAutospacing="1"/>
        <w:rPr>
          <w:color w:val="333333"/>
          <w:sz w:val="22"/>
          <w:szCs w:val="22"/>
        </w:rPr>
      </w:pPr>
      <w:r w:rsidRPr="005258DE">
        <w:rPr>
          <w:color w:val="333333"/>
          <w:sz w:val="22"/>
          <w:szCs w:val="22"/>
        </w:rPr>
        <w:t xml:space="preserve">(4) </w:t>
      </w:r>
      <w:r w:rsidRPr="00545782">
        <w:rPr>
          <w:color w:val="333333"/>
          <w:sz w:val="22"/>
          <w:szCs w:val="22"/>
        </w:rPr>
        <w:t xml:space="preserve">CONDITIONAL USES </w:t>
      </w:r>
      <w:r>
        <w:rPr>
          <w:color w:val="333333"/>
          <w:sz w:val="22"/>
          <w:szCs w:val="22"/>
        </w:rPr>
        <w:t xml:space="preserve">- </w:t>
      </w:r>
      <w:r w:rsidRPr="005258DE">
        <w:rPr>
          <w:color w:val="333333"/>
          <w:sz w:val="22"/>
          <w:szCs w:val="22"/>
        </w:rPr>
        <w:t>The following uses may be allowed on forest lands</w:t>
      </w:r>
      <w:r>
        <w:rPr>
          <w:color w:val="333333"/>
          <w:sz w:val="22"/>
          <w:szCs w:val="22"/>
        </w:rPr>
        <w:t xml:space="preserve"> as a conditional use</w:t>
      </w:r>
      <w:r w:rsidRPr="005258DE">
        <w:rPr>
          <w:color w:val="333333"/>
          <w:sz w:val="22"/>
          <w:szCs w:val="22"/>
        </w:rPr>
        <w:t xml:space="preserve"> </w:t>
      </w:r>
      <w:r>
        <w:rPr>
          <w:color w:val="333333"/>
          <w:sz w:val="22"/>
          <w:szCs w:val="22"/>
        </w:rPr>
        <w:t xml:space="preserve">(see table for type of conditional use) </w:t>
      </w:r>
      <w:r w:rsidRPr="005258DE">
        <w:rPr>
          <w:color w:val="333333"/>
          <w:sz w:val="22"/>
          <w:szCs w:val="22"/>
        </w:rPr>
        <w:t>subject to the review standards in section (5) of this rule:</w:t>
      </w:r>
    </w:p>
    <w:p w:rsidR="005C096C" w:rsidRPr="005258DE" w:rsidRDefault="005C096C" w:rsidP="005C096C">
      <w:pPr>
        <w:spacing w:before="100" w:beforeAutospacing="1" w:after="100" w:afterAutospacing="1"/>
        <w:ind w:left="540" w:hanging="270"/>
        <w:rPr>
          <w:color w:val="333333"/>
          <w:sz w:val="22"/>
          <w:szCs w:val="22"/>
        </w:rPr>
      </w:pPr>
      <w:r w:rsidRPr="005258DE">
        <w:rPr>
          <w:color w:val="333333"/>
          <w:sz w:val="22"/>
          <w:szCs w:val="22"/>
        </w:rPr>
        <w:t xml:space="preserve">(s) </w:t>
      </w:r>
      <w:r w:rsidRPr="005C420D">
        <w:rPr>
          <w:caps/>
          <w:color w:val="333333"/>
          <w:sz w:val="22"/>
          <w:szCs w:val="22"/>
        </w:rPr>
        <w:t>Home occupations/cottage industry</w:t>
      </w:r>
      <w:r>
        <w:rPr>
          <w:color w:val="333333"/>
          <w:sz w:val="22"/>
          <w:szCs w:val="22"/>
        </w:rPr>
        <w:t xml:space="preserve"> - </w:t>
      </w:r>
      <w:r w:rsidRPr="005258DE">
        <w:rPr>
          <w:color w:val="333333"/>
          <w:sz w:val="22"/>
          <w:szCs w:val="22"/>
        </w:rPr>
        <w:t>Home occupations as defined in ORS 215.448;</w:t>
      </w:r>
    </w:p>
    <w:p w:rsidR="005C096C" w:rsidRPr="005258DE" w:rsidRDefault="005C096C" w:rsidP="005C096C">
      <w:pPr>
        <w:rPr>
          <w:color w:val="333333"/>
          <w:sz w:val="22"/>
          <w:szCs w:val="22"/>
        </w:rPr>
      </w:pPr>
      <w:r w:rsidRPr="005258DE">
        <w:rPr>
          <w:color w:val="333333"/>
          <w:sz w:val="22"/>
          <w:szCs w:val="22"/>
        </w:rPr>
        <w:t>(5)</w:t>
      </w:r>
      <w:r>
        <w:rPr>
          <w:color w:val="333333"/>
          <w:sz w:val="22"/>
          <w:szCs w:val="22"/>
        </w:rPr>
        <w:t xml:space="preserve"> REVIEW CRITERIA FOR CONDITIONAL USES: </w:t>
      </w:r>
      <w:r w:rsidRPr="005258DE">
        <w:rPr>
          <w:color w:val="333333"/>
          <w:sz w:val="22"/>
          <w:szCs w:val="22"/>
        </w:rPr>
        <w:t xml:space="preserve"> A use authorized by section (4) of this rule may be allowed provided the following requirements or their equivalent are met. These requirements are designed to make the use compatible with forest operations and agriculture and to conserve values found on forest lands:</w:t>
      </w:r>
    </w:p>
    <w:p w:rsidR="005C096C" w:rsidRPr="005258DE" w:rsidRDefault="005C096C" w:rsidP="005C096C">
      <w:pPr>
        <w:ind w:left="720" w:hanging="360"/>
        <w:rPr>
          <w:color w:val="333333"/>
          <w:sz w:val="22"/>
          <w:szCs w:val="22"/>
        </w:rPr>
      </w:pPr>
      <w:r w:rsidRPr="005258DE">
        <w:rPr>
          <w:color w:val="333333"/>
          <w:sz w:val="22"/>
          <w:szCs w:val="22"/>
        </w:rPr>
        <w:t>(</w:t>
      </w:r>
      <w:r>
        <w:rPr>
          <w:color w:val="333333"/>
          <w:sz w:val="22"/>
          <w:szCs w:val="22"/>
        </w:rPr>
        <w:t>A</w:t>
      </w:r>
      <w:r w:rsidRPr="005258DE">
        <w:rPr>
          <w:color w:val="333333"/>
          <w:sz w:val="22"/>
          <w:szCs w:val="22"/>
        </w:rPr>
        <w:t>) The proposed use will not force a significant change in, or significantly increase the cost of, accepted farming or forest practices on agriculture or forest lands;</w:t>
      </w:r>
    </w:p>
    <w:p w:rsidR="005C096C" w:rsidRPr="005258DE" w:rsidRDefault="005C096C" w:rsidP="005C096C">
      <w:pPr>
        <w:ind w:left="720" w:hanging="360"/>
        <w:rPr>
          <w:color w:val="333333"/>
          <w:sz w:val="22"/>
          <w:szCs w:val="22"/>
        </w:rPr>
      </w:pPr>
      <w:r>
        <w:rPr>
          <w:color w:val="333333"/>
          <w:sz w:val="22"/>
          <w:szCs w:val="22"/>
        </w:rPr>
        <w:t>(B</w:t>
      </w:r>
      <w:r w:rsidRPr="005258DE">
        <w:rPr>
          <w:color w:val="333333"/>
          <w:sz w:val="22"/>
          <w:szCs w:val="22"/>
        </w:rPr>
        <w:t>) The proposed use will not significantly increase fire hazard or significantly increase fire suppression costs or significantly increase risks to fire suppression personnel; and</w:t>
      </w:r>
    </w:p>
    <w:p w:rsidR="005C096C" w:rsidRDefault="005C096C" w:rsidP="005C096C">
      <w:pPr>
        <w:ind w:left="720" w:hanging="360"/>
        <w:rPr>
          <w:color w:val="333333"/>
          <w:sz w:val="22"/>
          <w:szCs w:val="22"/>
        </w:rPr>
      </w:pPr>
      <w:r>
        <w:rPr>
          <w:color w:val="333333"/>
          <w:sz w:val="22"/>
          <w:szCs w:val="22"/>
        </w:rPr>
        <w:t>(C</w:t>
      </w:r>
      <w:r w:rsidRPr="005258DE">
        <w:rPr>
          <w:color w:val="333333"/>
          <w:sz w:val="22"/>
          <w:szCs w:val="22"/>
        </w:rPr>
        <w:t>) A written statement recorded with the deed or written contract with the county or its equivalent is obtained from the land owner that recognizes the rights of adjacent and nearby land owners to conduct forest operations consistent with the Forest Practices Act and Rules for uses authorized in subsections (4)(e), (m), (s), (t) and (w) of this rule.</w:t>
      </w:r>
    </w:p>
    <w:p w:rsidR="005C096C" w:rsidRDefault="005C096C" w:rsidP="005C096C">
      <w:pPr>
        <w:ind w:left="720" w:hanging="360"/>
        <w:rPr>
          <w:szCs w:val="24"/>
        </w:rPr>
      </w:pPr>
      <w:r>
        <w:rPr>
          <w:color w:val="333333"/>
          <w:sz w:val="22"/>
          <w:szCs w:val="22"/>
        </w:rPr>
        <w:t>(D)</w:t>
      </w:r>
      <w:r w:rsidRPr="00A6732D">
        <w:rPr>
          <w:szCs w:val="24"/>
        </w:rPr>
        <w:t xml:space="preserve"> All uses must comply with applicable development standards and fires </w:t>
      </w:r>
      <w:proofErr w:type="spellStart"/>
      <w:r w:rsidRPr="00A6732D">
        <w:rPr>
          <w:szCs w:val="24"/>
        </w:rPr>
        <w:t>siting</w:t>
      </w:r>
      <w:proofErr w:type="spellEnd"/>
      <w:r w:rsidRPr="00A6732D">
        <w:rPr>
          <w:szCs w:val="24"/>
        </w:rPr>
        <w:t xml:space="preserve"> and safety standards.</w:t>
      </w:r>
      <w:r w:rsidRPr="006B4379">
        <w:rPr>
          <w:szCs w:val="24"/>
        </w:rPr>
        <w:t xml:space="preserve"> </w:t>
      </w:r>
    </w:p>
    <w:p w:rsidR="005C096C" w:rsidRDefault="009B2E31" w:rsidP="005C096C">
      <w:pPr>
        <w:pStyle w:val="outlinelevel1"/>
        <w:shd w:val="clear" w:color="auto" w:fill="F3EED8"/>
        <w:spacing w:before="188" w:beforeAutospacing="0" w:after="0" w:afterAutospacing="0" w:line="432" w:lineRule="atLeast"/>
        <w:ind w:left="480"/>
        <w:rPr>
          <w:rFonts w:ascii="Arial" w:hAnsi="Arial" w:cs="Arial"/>
          <w:color w:val="352D27"/>
          <w:sz w:val="20"/>
          <w:szCs w:val="20"/>
        </w:rPr>
      </w:pPr>
      <w:r w:rsidRPr="005258DE">
        <w:rPr>
          <w:color w:val="333333"/>
          <w:sz w:val="22"/>
          <w:szCs w:val="22"/>
        </w:rPr>
        <w:t>ORS 215.448</w:t>
      </w:r>
      <w:r w:rsidR="005C096C">
        <w:rPr>
          <w:rFonts w:ascii="Arial" w:hAnsi="Arial" w:cs="Arial"/>
          <w:color w:val="352D27"/>
          <w:sz w:val="20"/>
          <w:szCs w:val="20"/>
        </w:rPr>
        <w:br/>
        <w:t xml:space="preserve">The governing body of a county or its designate may allow, subject to the approval of the governing body or its designate, the establishment of a home occupation and the parking of vehicles in any zone. However, in an exclusive farm use zone, forest zone or a mixed farm and forest zone that </w:t>
      </w:r>
      <w:proofErr w:type="gramStart"/>
      <w:r w:rsidR="005C096C">
        <w:rPr>
          <w:rFonts w:ascii="Arial" w:hAnsi="Arial" w:cs="Arial"/>
          <w:color w:val="352D27"/>
          <w:sz w:val="20"/>
          <w:szCs w:val="20"/>
        </w:rPr>
        <w:t>allows</w:t>
      </w:r>
      <w:proofErr w:type="gramEnd"/>
      <w:r w:rsidR="005C096C">
        <w:rPr>
          <w:rFonts w:ascii="Arial" w:hAnsi="Arial" w:cs="Arial"/>
          <w:color w:val="352D27"/>
          <w:sz w:val="20"/>
          <w:szCs w:val="20"/>
        </w:rPr>
        <w:t xml:space="preserve"> residential uses, the following standards apply to the home occupation:</w:t>
      </w:r>
    </w:p>
    <w:p w:rsidR="005C096C" w:rsidRDefault="005C096C" w:rsidP="005C096C">
      <w:pPr>
        <w:pStyle w:val="outlinelevel2"/>
        <w:shd w:val="clear" w:color="auto" w:fill="F3EED8"/>
        <w:spacing w:before="192" w:beforeAutospacing="0" w:after="0" w:afterAutospacing="0" w:line="432" w:lineRule="atLeast"/>
        <w:ind w:left="960"/>
        <w:rPr>
          <w:rFonts w:ascii="Arial" w:hAnsi="Arial" w:cs="Arial"/>
          <w:color w:val="352D27"/>
          <w:sz w:val="20"/>
          <w:szCs w:val="20"/>
        </w:rPr>
      </w:pPr>
      <w:r>
        <w:rPr>
          <w:rStyle w:val="outlineheading2"/>
          <w:rFonts w:ascii="Arial" w:hAnsi="Arial" w:cs="Arial"/>
          <w:b/>
          <w:bCs/>
          <w:color w:val="241C16"/>
          <w:sz w:val="21"/>
          <w:szCs w:val="21"/>
        </w:rPr>
        <w:t>(a)</w:t>
      </w:r>
      <w:r>
        <w:rPr>
          <w:rFonts w:ascii="Arial" w:hAnsi="Arial" w:cs="Arial"/>
          <w:color w:val="352D27"/>
          <w:sz w:val="20"/>
          <w:szCs w:val="20"/>
        </w:rPr>
        <w:t>It shall be operated by a resident or employee of a resident of the property on which the business is located;</w:t>
      </w:r>
    </w:p>
    <w:p w:rsidR="005C096C" w:rsidRDefault="005C096C" w:rsidP="005C096C">
      <w:pPr>
        <w:pStyle w:val="outlinelevel2"/>
        <w:shd w:val="clear" w:color="auto" w:fill="F3EED8"/>
        <w:spacing w:before="192" w:beforeAutospacing="0" w:after="0" w:afterAutospacing="0" w:line="432" w:lineRule="atLeast"/>
        <w:ind w:left="960"/>
        <w:rPr>
          <w:rFonts w:ascii="Arial" w:hAnsi="Arial" w:cs="Arial"/>
          <w:color w:val="352D27"/>
          <w:sz w:val="20"/>
          <w:szCs w:val="20"/>
        </w:rPr>
      </w:pPr>
      <w:r>
        <w:rPr>
          <w:rStyle w:val="outlineheading2"/>
          <w:rFonts w:ascii="Arial" w:hAnsi="Arial" w:cs="Arial"/>
          <w:b/>
          <w:bCs/>
          <w:color w:val="241C16"/>
          <w:sz w:val="21"/>
          <w:szCs w:val="21"/>
        </w:rPr>
        <w:t>(b)</w:t>
      </w:r>
      <w:r>
        <w:rPr>
          <w:rFonts w:ascii="Arial" w:hAnsi="Arial" w:cs="Arial"/>
          <w:color w:val="352D27"/>
          <w:sz w:val="20"/>
          <w:szCs w:val="20"/>
        </w:rPr>
        <w:t>It shall employ on the site no more than five full-time or part-time persons;</w:t>
      </w:r>
    </w:p>
    <w:p w:rsidR="005C096C" w:rsidRDefault="005C096C" w:rsidP="005C096C">
      <w:pPr>
        <w:pStyle w:val="outlinelevel2"/>
        <w:shd w:val="clear" w:color="auto" w:fill="F3EED8"/>
        <w:spacing w:before="192" w:beforeAutospacing="0" w:after="0" w:afterAutospacing="0" w:line="432" w:lineRule="atLeast"/>
        <w:ind w:left="960"/>
        <w:rPr>
          <w:rFonts w:ascii="Arial" w:hAnsi="Arial" w:cs="Arial"/>
          <w:color w:val="352D27"/>
          <w:sz w:val="20"/>
          <w:szCs w:val="20"/>
        </w:rPr>
      </w:pPr>
      <w:r>
        <w:rPr>
          <w:rStyle w:val="outlineheading2"/>
          <w:rFonts w:ascii="Arial" w:hAnsi="Arial" w:cs="Arial"/>
          <w:b/>
          <w:bCs/>
          <w:color w:val="241C16"/>
          <w:sz w:val="21"/>
          <w:szCs w:val="21"/>
        </w:rPr>
        <w:t>(c)</w:t>
      </w:r>
      <w:r>
        <w:rPr>
          <w:rFonts w:ascii="Arial" w:hAnsi="Arial" w:cs="Arial"/>
          <w:color w:val="352D27"/>
          <w:sz w:val="20"/>
          <w:szCs w:val="20"/>
        </w:rPr>
        <w:t>It shall be operated substantially in:</w:t>
      </w:r>
    </w:p>
    <w:p w:rsidR="005C096C" w:rsidRDefault="005C096C" w:rsidP="005C096C">
      <w:pPr>
        <w:pStyle w:val="outlinelevel3"/>
        <w:shd w:val="clear" w:color="auto" w:fill="F3EED8"/>
        <w:spacing w:before="192" w:beforeAutospacing="0" w:after="0" w:afterAutospacing="0" w:line="432" w:lineRule="atLeast"/>
        <w:ind w:left="1440"/>
        <w:rPr>
          <w:rFonts w:ascii="Arial" w:hAnsi="Arial" w:cs="Arial"/>
          <w:color w:val="352D27"/>
          <w:sz w:val="20"/>
          <w:szCs w:val="20"/>
        </w:rPr>
      </w:pPr>
      <w:r>
        <w:rPr>
          <w:rStyle w:val="outlineheading3"/>
          <w:rFonts w:ascii="Arial" w:hAnsi="Arial" w:cs="Arial"/>
          <w:b/>
          <w:bCs/>
          <w:color w:val="241C16"/>
          <w:sz w:val="20"/>
          <w:szCs w:val="20"/>
        </w:rPr>
        <w:t>(A)</w:t>
      </w:r>
      <w:r>
        <w:rPr>
          <w:rFonts w:ascii="Arial" w:hAnsi="Arial" w:cs="Arial"/>
          <w:color w:val="352D27"/>
          <w:sz w:val="20"/>
          <w:szCs w:val="20"/>
        </w:rPr>
        <w:t>The dwelling; </w:t>
      </w:r>
      <w:r>
        <w:rPr>
          <w:rStyle w:val="connectingor"/>
          <w:rFonts w:ascii="Arial" w:hAnsi="Arial" w:cs="Arial"/>
          <w:b/>
          <w:bCs/>
          <w:color w:val="000000"/>
          <w:spacing w:val="12"/>
          <w:sz w:val="20"/>
          <w:szCs w:val="20"/>
        </w:rPr>
        <w:t>or</w:t>
      </w:r>
    </w:p>
    <w:p w:rsidR="005C096C" w:rsidRDefault="005C096C" w:rsidP="005C096C">
      <w:pPr>
        <w:pStyle w:val="outlinelevel3"/>
        <w:shd w:val="clear" w:color="auto" w:fill="F3EED8"/>
        <w:spacing w:before="192" w:beforeAutospacing="0" w:after="0" w:afterAutospacing="0" w:line="432" w:lineRule="atLeast"/>
        <w:ind w:left="1440"/>
        <w:rPr>
          <w:rFonts w:ascii="Arial" w:hAnsi="Arial" w:cs="Arial"/>
          <w:color w:val="352D27"/>
          <w:sz w:val="20"/>
          <w:szCs w:val="20"/>
        </w:rPr>
      </w:pPr>
      <w:r>
        <w:rPr>
          <w:rStyle w:val="outlineheading3"/>
          <w:rFonts w:ascii="Arial" w:hAnsi="Arial" w:cs="Arial"/>
          <w:b/>
          <w:bCs/>
          <w:color w:val="241C16"/>
          <w:sz w:val="20"/>
          <w:szCs w:val="20"/>
        </w:rPr>
        <w:t>(B)</w:t>
      </w:r>
      <w:r>
        <w:rPr>
          <w:rFonts w:ascii="Arial" w:hAnsi="Arial" w:cs="Arial"/>
          <w:color w:val="352D27"/>
          <w:sz w:val="20"/>
          <w:szCs w:val="20"/>
        </w:rPr>
        <w:t>Other buildings normally associated with uses permitted in the zone in which the property is located; </w:t>
      </w:r>
      <w:r>
        <w:rPr>
          <w:rStyle w:val="connectingand"/>
          <w:rFonts w:ascii="Arial" w:hAnsi="Arial" w:cs="Arial"/>
          <w:b/>
          <w:bCs/>
          <w:color w:val="000000"/>
          <w:spacing w:val="12"/>
          <w:sz w:val="20"/>
          <w:szCs w:val="20"/>
        </w:rPr>
        <w:t>and</w:t>
      </w:r>
    </w:p>
    <w:p w:rsidR="005C096C" w:rsidRDefault="005C096C" w:rsidP="005C096C">
      <w:pPr>
        <w:pStyle w:val="outlinelevel2"/>
        <w:shd w:val="clear" w:color="auto" w:fill="F3EED8"/>
        <w:spacing w:before="192" w:beforeAutospacing="0" w:after="0" w:afterAutospacing="0" w:line="432" w:lineRule="atLeast"/>
        <w:ind w:left="960"/>
        <w:rPr>
          <w:rFonts w:ascii="Arial" w:hAnsi="Arial" w:cs="Arial"/>
          <w:color w:val="352D27"/>
          <w:sz w:val="20"/>
          <w:szCs w:val="20"/>
        </w:rPr>
      </w:pPr>
      <w:r>
        <w:rPr>
          <w:rStyle w:val="outlineheading2"/>
          <w:rFonts w:ascii="Arial" w:hAnsi="Arial" w:cs="Arial"/>
          <w:b/>
          <w:bCs/>
          <w:color w:val="241C16"/>
          <w:sz w:val="21"/>
          <w:szCs w:val="21"/>
        </w:rPr>
        <w:lastRenderedPageBreak/>
        <w:t>(d)</w:t>
      </w:r>
      <w:r>
        <w:rPr>
          <w:rFonts w:ascii="Arial" w:hAnsi="Arial" w:cs="Arial"/>
          <w:color w:val="352D27"/>
          <w:sz w:val="20"/>
          <w:szCs w:val="20"/>
        </w:rPr>
        <w:t>It shall not unreasonably interfere with other uses permitted in the zone in which the property is located.</w:t>
      </w:r>
    </w:p>
    <w:p w:rsidR="005C096C" w:rsidRDefault="005C096C" w:rsidP="005C096C">
      <w:pPr>
        <w:pStyle w:val="outlinelevel1"/>
        <w:shd w:val="clear" w:color="auto" w:fill="F3EED8"/>
        <w:spacing w:before="188" w:beforeAutospacing="0" w:after="0" w:afterAutospacing="0" w:line="432" w:lineRule="atLeast"/>
        <w:ind w:left="480"/>
        <w:rPr>
          <w:rFonts w:ascii="Arial" w:hAnsi="Arial" w:cs="Arial"/>
          <w:color w:val="352D27"/>
          <w:sz w:val="20"/>
          <w:szCs w:val="20"/>
        </w:rPr>
      </w:pPr>
      <w:r>
        <w:rPr>
          <w:rStyle w:val="outlineheading1"/>
          <w:rFonts w:ascii="Arial" w:hAnsi="Arial" w:cs="Arial"/>
          <w:b/>
          <w:bCs/>
          <w:color w:val="241C16"/>
          <w:sz w:val="22"/>
          <w:szCs w:val="22"/>
        </w:rPr>
        <w:t>(2)</w:t>
      </w:r>
      <w:r>
        <w:rPr>
          <w:rFonts w:ascii="Arial" w:hAnsi="Arial" w:cs="Arial"/>
          <w:color w:val="352D27"/>
          <w:sz w:val="20"/>
          <w:szCs w:val="20"/>
        </w:rPr>
        <w:t>The governing body of the county or its designate may establish additional reasonable conditions of approval for the establishment of a home occupation under subsection (1) of this section.</w:t>
      </w:r>
    </w:p>
    <w:p w:rsidR="005C096C" w:rsidRDefault="005C096C" w:rsidP="005C096C">
      <w:pPr>
        <w:pStyle w:val="outlinelevel1"/>
        <w:shd w:val="clear" w:color="auto" w:fill="F3EED8"/>
        <w:spacing w:before="188" w:beforeAutospacing="0" w:after="0" w:afterAutospacing="0" w:line="432" w:lineRule="atLeast"/>
        <w:ind w:left="480"/>
        <w:rPr>
          <w:rFonts w:ascii="Arial" w:hAnsi="Arial" w:cs="Arial"/>
          <w:color w:val="352D27"/>
          <w:sz w:val="20"/>
          <w:szCs w:val="20"/>
        </w:rPr>
      </w:pPr>
      <w:r>
        <w:rPr>
          <w:rStyle w:val="outlineheading1"/>
          <w:rFonts w:ascii="Arial" w:hAnsi="Arial" w:cs="Arial"/>
          <w:b/>
          <w:bCs/>
          <w:color w:val="241C16"/>
          <w:sz w:val="22"/>
          <w:szCs w:val="22"/>
        </w:rPr>
        <w:t>(3)</w:t>
      </w:r>
      <w:r>
        <w:rPr>
          <w:rFonts w:ascii="Arial" w:hAnsi="Arial" w:cs="Arial"/>
          <w:color w:val="352D27"/>
          <w:sz w:val="20"/>
          <w:szCs w:val="20"/>
        </w:rPr>
        <w:t xml:space="preserve">Nothing in this section authorizes the governing body or </w:t>
      </w:r>
      <w:proofErr w:type="gramStart"/>
      <w:r>
        <w:rPr>
          <w:rFonts w:ascii="Arial" w:hAnsi="Arial" w:cs="Arial"/>
          <w:color w:val="352D27"/>
          <w:sz w:val="20"/>
          <w:szCs w:val="20"/>
        </w:rPr>
        <w:t>its</w:t>
      </w:r>
      <w:proofErr w:type="gramEnd"/>
      <w:r>
        <w:rPr>
          <w:rFonts w:ascii="Arial" w:hAnsi="Arial" w:cs="Arial"/>
          <w:color w:val="352D27"/>
          <w:sz w:val="20"/>
          <w:szCs w:val="20"/>
        </w:rPr>
        <w:t xml:space="preserve"> designate to permit construction of any structure that would not otherwise be allowed in the zone in which the home occupation is to be established.</w:t>
      </w:r>
    </w:p>
    <w:p w:rsidR="005C096C" w:rsidRDefault="005C096C" w:rsidP="005C096C">
      <w:pPr>
        <w:pStyle w:val="outlinelevel1"/>
        <w:shd w:val="clear" w:color="auto" w:fill="F3EED8"/>
        <w:spacing w:before="188" w:beforeAutospacing="0" w:after="0" w:afterAutospacing="0" w:line="432" w:lineRule="atLeast"/>
        <w:ind w:left="480"/>
        <w:rPr>
          <w:rFonts w:ascii="Arial" w:hAnsi="Arial" w:cs="Arial"/>
          <w:color w:val="352D27"/>
          <w:sz w:val="20"/>
          <w:szCs w:val="20"/>
        </w:rPr>
      </w:pPr>
      <w:r>
        <w:rPr>
          <w:rStyle w:val="outlineheading1"/>
          <w:rFonts w:ascii="Arial" w:hAnsi="Arial" w:cs="Arial"/>
          <w:b/>
          <w:bCs/>
          <w:color w:val="241C16"/>
          <w:sz w:val="22"/>
          <w:szCs w:val="22"/>
        </w:rPr>
        <w:t>(4)</w:t>
      </w:r>
      <w:r>
        <w:rPr>
          <w:rFonts w:ascii="Arial" w:hAnsi="Arial" w:cs="Arial"/>
          <w:color w:val="352D27"/>
          <w:sz w:val="20"/>
          <w:szCs w:val="20"/>
        </w:rPr>
        <w:t>The existence of home occupations shall not be used as justification for a zone change.</w:t>
      </w:r>
    </w:p>
    <w:p w:rsidR="00E81F4B" w:rsidRDefault="00E81F4B" w:rsidP="00E81F4B">
      <w:pPr>
        <w:rPr>
          <w:snapToGrid w:val="0"/>
        </w:rPr>
      </w:pPr>
      <w:r>
        <w:rPr>
          <w:snapToGrid w:val="0"/>
        </w:rPr>
        <w:t xml:space="preserve">HOME OCCUPATION:  </w:t>
      </w:r>
      <w:proofErr w:type="gramStart"/>
      <w:r>
        <w:rPr>
          <w:snapToGrid w:val="0"/>
        </w:rPr>
        <w:t>Home occupations constitutes</w:t>
      </w:r>
      <w:proofErr w:type="gramEnd"/>
      <w:r>
        <w:rPr>
          <w:snapToGrid w:val="0"/>
        </w:rPr>
        <w:t xml:space="preserve"> businesses that are operated entirely within a dwelling by a member of the family residing in the dwelling.  Home occupations shall not employ more than five (5) full or part-time persons.  Examples of home occupations include but are not limited to:  beauty shops, engravers, professional offices, etc.</w:t>
      </w:r>
    </w:p>
    <w:p w:rsidR="00E81F4B" w:rsidRDefault="00E81F4B" w:rsidP="00E81F4B">
      <w:pPr>
        <w:rPr>
          <w:snapToGrid w:val="0"/>
        </w:rPr>
      </w:pPr>
    </w:p>
    <w:p w:rsidR="00E81F4B" w:rsidRDefault="00E81F4B" w:rsidP="00A6187A">
      <w:pPr>
        <w:ind w:left="720"/>
        <w:rPr>
          <w:snapToGrid w:val="0"/>
        </w:rPr>
      </w:pPr>
      <w:r>
        <w:rPr>
          <w:snapToGrid w:val="0"/>
        </w:rPr>
        <w:t>Home occupations must not interfere with existing uses on nearby land or with other uses</w:t>
      </w:r>
      <w:r w:rsidR="00A6187A">
        <w:rPr>
          <w:snapToGrid w:val="0"/>
        </w:rPr>
        <w:t xml:space="preserve"> </w:t>
      </w:r>
      <w:r>
        <w:rPr>
          <w:snapToGrid w:val="0"/>
        </w:rPr>
        <w:t xml:space="preserve">permitted in the zone in which the property is located.  Home occupations shall not </w:t>
      </w:r>
    </w:p>
    <w:p w:rsidR="00E81F4B" w:rsidRDefault="00E81F4B" w:rsidP="00E81F4B">
      <w:pPr>
        <w:ind w:left="1440" w:hanging="720"/>
        <w:rPr>
          <w:snapToGrid w:val="0"/>
        </w:rPr>
      </w:pPr>
      <w:proofErr w:type="gramStart"/>
      <w:r>
        <w:rPr>
          <w:snapToGrid w:val="0"/>
        </w:rPr>
        <w:t>involve</w:t>
      </w:r>
      <w:proofErr w:type="gramEnd"/>
      <w:r>
        <w:rPr>
          <w:snapToGrid w:val="0"/>
        </w:rPr>
        <w:t xml:space="preserve"> the retail sale of a product on the premises.  Home occupations shall not</w:t>
      </w:r>
    </w:p>
    <w:p w:rsidR="00E81F4B" w:rsidRDefault="00E81F4B" w:rsidP="00E81F4B">
      <w:pPr>
        <w:ind w:left="1440" w:hanging="720"/>
        <w:rPr>
          <w:snapToGrid w:val="0"/>
        </w:rPr>
      </w:pPr>
      <w:proofErr w:type="gramStart"/>
      <w:r>
        <w:rPr>
          <w:snapToGrid w:val="0"/>
        </w:rPr>
        <w:t>occupy</w:t>
      </w:r>
      <w:proofErr w:type="gramEnd"/>
      <w:r>
        <w:rPr>
          <w:snapToGrid w:val="0"/>
        </w:rPr>
        <w:t xml:space="preserve"> more than 30% of the useable floor area of the dwelling, nor shall home </w:t>
      </w:r>
    </w:p>
    <w:p w:rsidR="00E81F4B" w:rsidRDefault="00E81F4B" w:rsidP="00E81F4B">
      <w:pPr>
        <w:ind w:left="1440" w:hanging="720"/>
        <w:rPr>
          <w:snapToGrid w:val="0"/>
        </w:rPr>
      </w:pPr>
      <w:proofErr w:type="gramStart"/>
      <w:r>
        <w:rPr>
          <w:snapToGrid w:val="0"/>
        </w:rPr>
        <w:t>occupations</w:t>
      </w:r>
      <w:proofErr w:type="gramEnd"/>
      <w:r>
        <w:rPr>
          <w:snapToGrid w:val="0"/>
        </w:rPr>
        <w:t xml:space="preserve"> use any detached accessory building.  On premise signs advertising home </w:t>
      </w:r>
    </w:p>
    <w:p w:rsidR="00E81F4B" w:rsidRDefault="00E81F4B" w:rsidP="00E81F4B">
      <w:pPr>
        <w:ind w:left="1440" w:hanging="720"/>
        <w:rPr>
          <w:bCs/>
        </w:rPr>
      </w:pPr>
      <w:proofErr w:type="gramStart"/>
      <w:r>
        <w:rPr>
          <w:snapToGrid w:val="0"/>
        </w:rPr>
        <w:t>occupations</w:t>
      </w:r>
      <w:proofErr w:type="gramEnd"/>
      <w:r>
        <w:rPr>
          <w:snapToGrid w:val="0"/>
        </w:rPr>
        <w:t xml:space="preserve"> shall not exceed six (6) square feet of copy area.  </w:t>
      </w:r>
      <w:r>
        <w:rPr>
          <w:bCs/>
        </w:rPr>
        <w:t xml:space="preserve">[OR 04 12 </w:t>
      </w:r>
      <w:proofErr w:type="gramStart"/>
      <w:r>
        <w:rPr>
          <w:bCs/>
        </w:rPr>
        <w:t xml:space="preserve">013PL  </w:t>
      </w:r>
      <w:smartTag w:uri="urn:schemas-microsoft-com:office:smarttags" w:element="date">
        <w:smartTagPr>
          <w:attr w:name="Month" w:val="2"/>
          <w:attr w:name="Day" w:val="9"/>
          <w:attr w:name="Year" w:val="2005"/>
        </w:smartTagPr>
        <w:r>
          <w:rPr>
            <w:bCs/>
          </w:rPr>
          <w:t>2</w:t>
        </w:r>
        <w:proofErr w:type="gramEnd"/>
        <w:r>
          <w:rPr>
            <w:bCs/>
          </w:rPr>
          <w:t>/09/05</w:t>
        </w:r>
      </w:smartTag>
      <w:r>
        <w:rPr>
          <w:bCs/>
        </w:rPr>
        <w:t>]</w:t>
      </w:r>
    </w:p>
    <w:p w:rsidR="006F6D3C" w:rsidRDefault="006F6D3C"/>
    <w:sectPr w:rsidR="006F6D3C" w:rsidSect="006F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72055"/>
    <w:multiLevelType w:val="hybridMultilevel"/>
    <w:tmpl w:val="D41A77A8"/>
    <w:lvl w:ilvl="0" w:tplc="3E1886A0">
      <w:start w:val="1"/>
      <w:numFmt w:val="decimal"/>
      <w:lvlText w:val="%1."/>
      <w:lvlJc w:val="left"/>
      <w:pPr>
        <w:ind w:left="720" w:hanging="360"/>
      </w:pPr>
      <w:rPr>
        <w:rFonts w:hint="default"/>
        <w:b w:val="0"/>
        <w:i w:val="0"/>
        <w:strike w:val="0"/>
        <w:color w:val="auto"/>
        <w:u w:val="none"/>
      </w:rPr>
    </w:lvl>
    <w:lvl w:ilvl="1" w:tplc="E032995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096C"/>
    <w:rsid w:val="001F5269"/>
    <w:rsid w:val="005C096C"/>
    <w:rsid w:val="006F6D3C"/>
    <w:rsid w:val="009B2E31"/>
    <w:rsid w:val="00A6187A"/>
    <w:rsid w:val="00BD4357"/>
    <w:rsid w:val="00E62550"/>
    <w:rsid w:val="00E81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6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096C"/>
    <w:pPr>
      <w:ind w:left="720"/>
      <w:contextualSpacing/>
    </w:pPr>
  </w:style>
  <w:style w:type="paragraph" w:customStyle="1" w:styleId="outlinelevel1">
    <w:name w:val="outline_level_1"/>
    <w:basedOn w:val="Normal"/>
    <w:rsid w:val="005C096C"/>
    <w:pPr>
      <w:spacing w:before="100" w:beforeAutospacing="1" w:after="100" w:afterAutospacing="1"/>
    </w:pPr>
    <w:rPr>
      <w:szCs w:val="24"/>
    </w:rPr>
  </w:style>
  <w:style w:type="paragraph" w:customStyle="1" w:styleId="outlinelevel2">
    <w:name w:val="outline_level_2"/>
    <w:basedOn w:val="Normal"/>
    <w:rsid w:val="005C096C"/>
    <w:pPr>
      <w:spacing w:before="100" w:beforeAutospacing="1" w:after="100" w:afterAutospacing="1"/>
    </w:pPr>
    <w:rPr>
      <w:szCs w:val="24"/>
    </w:rPr>
  </w:style>
  <w:style w:type="character" w:customStyle="1" w:styleId="outlineheading2">
    <w:name w:val="outline_heading_2"/>
    <w:basedOn w:val="DefaultParagraphFont"/>
    <w:rsid w:val="005C096C"/>
  </w:style>
  <w:style w:type="paragraph" w:customStyle="1" w:styleId="outlinelevel3">
    <w:name w:val="outline_level_3"/>
    <w:basedOn w:val="Normal"/>
    <w:rsid w:val="005C096C"/>
    <w:pPr>
      <w:spacing w:before="100" w:beforeAutospacing="1" w:after="100" w:afterAutospacing="1"/>
    </w:pPr>
    <w:rPr>
      <w:szCs w:val="24"/>
    </w:rPr>
  </w:style>
  <w:style w:type="character" w:customStyle="1" w:styleId="outlineheading3">
    <w:name w:val="outline_heading_3"/>
    <w:basedOn w:val="DefaultParagraphFont"/>
    <w:rsid w:val="005C096C"/>
  </w:style>
  <w:style w:type="character" w:customStyle="1" w:styleId="connectingor">
    <w:name w:val="connecting_or"/>
    <w:basedOn w:val="DefaultParagraphFont"/>
    <w:rsid w:val="005C096C"/>
  </w:style>
  <w:style w:type="character" w:customStyle="1" w:styleId="connectingand">
    <w:name w:val="connecting_and"/>
    <w:basedOn w:val="DefaultParagraphFont"/>
    <w:rsid w:val="005C096C"/>
  </w:style>
  <w:style w:type="character" w:customStyle="1" w:styleId="outlineheading1">
    <w:name w:val="outline_heading_1"/>
    <w:basedOn w:val="DefaultParagraphFont"/>
    <w:rsid w:val="005C096C"/>
  </w:style>
</w:styles>
</file>

<file path=word/webSettings.xml><?xml version="1.0" encoding="utf-8"?>
<w:webSettings xmlns:r="http://schemas.openxmlformats.org/officeDocument/2006/relationships" xmlns:w="http://schemas.openxmlformats.org/wordprocessingml/2006/main">
  <w:divs>
    <w:div w:id="1182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Coos County</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corr</cp:lastModifiedBy>
  <cp:revision>1</cp:revision>
  <dcterms:created xsi:type="dcterms:W3CDTF">2020-10-06T20:21:00Z</dcterms:created>
  <dcterms:modified xsi:type="dcterms:W3CDTF">2020-10-06T22:02:00Z</dcterms:modified>
</cp:coreProperties>
</file>