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E3" w:rsidRPr="00A61AC7" w:rsidRDefault="006816E3" w:rsidP="006816E3">
      <w:pPr>
        <w:pStyle w:val="ListParagraph"/>
        <w:numPr>
          <w:ilvl w:val="1"/>
          <w:numId w:val="1"/>
        </w:numPr>
      </w:pPr>
      <w:r w:rsidRPr="00A61AC7">
        <w:t>Guest House -  An auxiliary residence shall be constructed on property when the following conditions are met:</w:t>
      </w:r>
    </w:p>
    <w:p w:rsidR="006816E3" w:rsidRPr="00A61AC7" w:rsidRDefault="006816E3" w:rsidP="006816E3">
      <w:pPr>
        <w:pStyle w:val="ListParagraph"/>
        <w:numPr>
          <w:ilvl w:val="2"/>
          <w:numId w:val="1"/>
        </w:numPr>
      </w:pPr>
      <w:r w:rsidRPr="00A61AC7">
        <w:t>The parcel on which the guest house is placed contains two (2) acres;</w:t>
      </w:r>
    </w:p>
    <w:p w:rsidR="006816E3" w:rsidRPr="00A61AC7" w:rsidRDefault="006816E3" w:rsidP="006816E3">
      <w:pPr>
        <w:pStyle w:val="ListParagraph"/>
        <w:numPr>
          <w:ilvl w:val="2"/>
          <w:numId w:val="1"/>
        </w:numPr>
      </w:pPr>
      <w:r w:rsidRPr="00A61AC7">
        <w:t>Only one guest house per lawfully created unit of land;</w:t>
      </w:r>
    </w:p>
    <w:p w:rsidR="006816E3" w:rsidRPr="00A61AC7" w:rsidRDefault="006816E3" w:rsidP="006816E3">
      <w:pPr>
        <w:pStyle w:val="ListParagraph"/>
        <w:numPr>
          <w:ilvl w:val="2"/>
          <w:numId w:val="1"/>
        </w:numPr>
      </w:pPr>
      <w:r w:rsidRPr="00A61AC7">
        <w:t>The guest house shall not exceed either 500 square feet in size or 75% of the total square footage of the primary dwelling, whichever is less, on properties that contains at least two (2) acres in size;</w:t>
      </w:r>
    </w:p>
    <w:p w:rsidR="006816E3" w:rsidRPr="00A61AC7" w:rsidRDefault="006816E3" w:rsidP="006816E3">
      <w:pPr>
        <w:pStyle w:val="ListParagraph"/>
        <w:numPr>
          <w:ilvl w:val="2"/>
          <w:numId w:val="1"/>
        </w:numPr>
      </w:pPr>
      <w:r w:rsidRPr="00A61AC7">
        <w:t>The guest house shall not exceed either 800 square feet in size or 75% of the total square footage of the primary dwelling, whichever is less, on properties that are served by water and sewer or contains a minimum of (5) acres;</w:t>
      </w:r>
    </w:p>
    <w:p w:rsidR="006816E3" w:rsidRPr="00A61AC7" w:rsidRDefault="006816E3" w:rsidP="006816E3">
      <w:pPr>
        <w:pStyle w:val="ListParagraph"/>
        <w:numPr>
          <w:ilvl w:val="2"/>
          <w:numId w:val="1"/>
        </w:numPr>
      </w:pPr>
      <w:r w:rsidRPr="00A61AC7">
        <w:t>The guest house can be a manufactured structure (park model) or conventional built.  Manufactured structures are prohibited in an Urban Residential-1 (UR-1) zone;</w:t>
      </w:r>
    </w:p>
    <w:p w:rsidR="006816E3" w:rsidRPr="00A61AC7" w:rsidRDefault="006816E3" w:rsidP="006816E3">
      <w:pPr>
        <w:pStyle w:val="ListParagraph"/>
        <w:numPr>
          <w:ilvl w:val="2"/>
          <w:numId w:val="1"/>
        </w:numPr>
      </w:pPr>
      <w:r w:rsidRPr="00A61AC7">
        <w:t>Cannot be used as a rental unit;</w:t>
      </w:r>
    </w:p>
    <w:p w:rsidR="006816E3" w:rsidRPr="00A61AC7" w:rsidRDefault="006816E3" w:rsidP="006816E3">
      <w:pPr>
        <w:pStyle w:val="ListParagraph"/>
        <w:numPr>
          <w:ilvl w:val="2"/>
          <w:numId w:val="1"/>
        </w:numPr>
      </w:pPr>
      <w:r w:rsidRPr="00A61AC7">
        <w:t>Is attached to or within 100 feet of the main residence but no closer than seven (7) feet;</w:t>
      </w:r>
    </w:p>
    <w:p w:rsidR="006816E3" w:rsidRPr="00A61AC7" w:rsidRDefault="006816E3" w:rsidP="006816E3">
      <w:pPr>
        <w:pStyle w:val="ListParagraph"/>
        <w:numPr>
          <w:ilvl w:val="2"/>
          <w:numId w:val="1"/>
        </w:numPr>
      </w:pPr>
      <w:r w:rsidRPr="00A61AC7">
        <w:t xml:space="preserve">Is served by the same domestic water system, sewage system and utility meters as the main residence, unless it is located in an area served by a public sewer system;  </w:t>
      </w:r>
    </w:p>
    <w:p w:rsidR="006816E3" w:rsidRPr="00A61AC7" w:rsidRDefault="006816E3" w:rsidP="006816E3">
      <w:pPr>
        <w:pStyle w:val="ListParagraph"/>
        <w:numPr>
          <w:ilvl w:val="2"/>
          <w:numId w:val="1"/>
        </w:numPr>
      </w:pPr>
      <w:r w:rsidRPr="00A61AC7">
        <w:t xml:space="preserve">Guest houses that existed prior to July 1, 2018 may be converted to an accessory dwelling unit if they comply with the standards.  This will require a Compliance Determination review. </w:t>
      </w:r>
    </w:p>
    <w:p w:rsidR="006816E3" w:rsidRPr="00A61AC7" w:rsidRDefault="006816E3" w:rsidP="006816E3">
      <w:pPr>
        <w:pStyle w:val="ListParagraph"/>
        <w:numPr>
          <w:ilvl w:val="2"/>
          <w:numId w:val="1"/>
        </w:numPr>
      </w:pPr>
      <w:r w:rsidRPr="00A61AC7">
        <w:t xml:space="preserve">A deed covenant recorded with the county stating that this is a guest house that is not to be rented. If converted to another use the covenant will be removed. </w:t>
      </w:r>
    </w:p>
    <w:p w:rsidR="00062A81" w:rsidRDefault="00062A81" w:rsidP="00062A81">
      <w:pPr>
        <w:pStyle w:val="Header"/>
        <w:tabs>
          <w:tab w:val="clear" w:pos="4680"/>
          <w:tab w:val="clear" w:pos="9360"/>
        </w:tabs>
        <w:rPr>
          <w:rFonts w:eastAsiaTheme="minorHAnsi"/>
          <w:snapToGrid w:val="0"/>
          <w:szCs w:val="24"/>
        </w:rPr>
      </w:pPr>
    </w:p>
    <w:p w:rsidR="00062A81" w:rsidRPr="00712DDC" w:rsidRDefault="00062A81" w:rsidP="00062A81">
      <w:pPr>
        <w:pStyle w:val="Header"/>
        <w:tabs>
          <w:tab w:val="clear" w:pos="4680"/>
          <w:tab w:val="clear" w:pos="9360"/>
        </w:tabs>
        <w:rPr>
          <w:szCs w:val="24"/>
        </w:rPr>
      </w:pPr>
      <w:r w:rsidRPr="00712DDC">
        <w:rPr>
          <w:rFonts w:eastAsiaTheme="minorHAnsi"/>
          <w:snapToGrid w:val="0"/>
          <w:szCs w:val="24"/>
        </w:rPr>
        <w:t xml:space="preserve">COMPATIBILITY: The proposed USE, ACTIVITY OR DEVELOPMENT </w:t>
      </w:r>
      <w:r w:rsidRPr="002A7F8B">
        <w:rPr>
          <w:szCs w:val="24"/>
        </w:rPr>
        <w:t>is required to demonstrate compatibility with the surrounding properties or compatibility may be made through the imposition of conditions. Compatibility means that the proposed use is capable of existing together with the surrounding uses without discord or disharmony.  The test is where the proposed use is compatible with the existing surrounding uses and not potential or future uses in the surround area.</w:t>
      </w:r>
    </w:p>
    <w:p w:rsidR="006F6D3C" w:rsidRDefault="006F6D3C"/>
    <w:sectPr w:rsidR="006F6D3C" w:rsidSect="006F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F0E1F"/>
    <w:multiLevelType w:val="hybridMultilevel"/>
    <w:tmpl w:val="4910572E"/>
    <w:lvl w:ilvl="0" w:tplc="EE0A7ADA">
      <w:start w:val="1"/>
      <w:numFmt w:val="decimal"/>
      <w:lvlText w:val="(%1)"/>
      <w:lvlJc w:val="left"/>
      <w:pPr>
        <w:ind w:left="840" w:hanging="360"/>
      </w:pPr>
      <w:rPr>
        <w:rFonts w:hint="default"/>
        <w:b w:val="0"/>
      </w:rPr>
    </w:lvl>
    <w:lvl w:ilvl="1" w:tplc="9A705BA0">
      <w:start w:val="1"/>
      <w:numFmt w:val="lowerLetter"/>
      <w:lvlText w:val="(%2)"/>
      <w:lvlJc w:val="left"/>
      <w:pPr>
        <w:ind w:left="1440" w:hanging="360"/>
      </w:pPr>
      <w:rPr>
        <w:rFonts w:hint="default"/>
      </w:rPr>
    </w:lvl>
    <w:lvl w:ilvl="2" w:tplc="ABBCBA76">
      <w:start w:val="1"/>
      <w:numFmt w:val="lowerRoman"/>
      <w:lvlText w:val="(%3)"/>
      <w:lvlJc w:val="right"/>
      <w:pPr>
        <w:ind w:left="2160" w:hanging="180"/>
      </w:pPr>
      <w:rPr>
        <w:rFonts w:hint="default"/>
        <w:b w:val="0"/>
        <w:i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A39C6"/>
    <w:multiLevelType w:val="hybridMultilevel"/>
    <w:tmpl w:val="8E0A7C0E"/>
    <w:lvl w:ilvl="0" w:tplc="119E341C">
      <w:start w:val="1"/>
      <w:numFmt w:val="decimal"/>
      <w:lvlText w:val="(%1)"/>
      <w:lvlJc w:val="left"/>
      <w:pPr>
        <w:ind w:left="720" w:hanging="360"/>
      </w:pPr>
      <w:rPr>
        <w:rFonts w:hint="default"/>
        <w:b w:val="0"/>
        <w:i w:val="0"/>
        <w:strike w:val="0"/>
        <w:color w:val="auto"/>
      </w:rPr>
    </w:lvl>
    <w:lvl w:ilvl="1" w:tplc="9A705BA0">
      <w:start w:val="1"/>
      <w:numFmt w:val="lowerLetter"/>
      <w:lvlText w:val="(%2)"/>
      <w:lvlJc w:val="left"/>
      <w:pPr>
        <w:ind w:left="1440" w:hanging="360"/>
      </w:pPr>
      <w:rPr>
        <w:rFonts w:hint="default"/>
      </w:rPr>
    </w:lvl>
    <w:lvl w:ilvl="2" w:tplc="B02E432E">
      <w:start w:val="1"/>
      <w:numFmt w:val="lowerRoman"/>
      <w:lvlText w:val="%3."/>
      <w:lvlJc w:val="right"/>
      <w:pPr>
        <w:ind w:left="2160" w:hanging="180"/>
      </w:pPr>
      <w:rPr>
        <w:strike w:val="0"/>
      </w:rPr>
    </w:lvl>
    <w:lvl w:ilvl="3" w:tplc="04090019">
      <w:start w:val="1"/>
      <w:numFmt w:val="lowerLetter"/>
      <w:lvlText w:val="%4."/>
      <w:lvlJc w:val="left"/>
      <w:pPr>
        <w:ind w:left="2880" w:hanging="360"/>
      </w:pPr>
      <w:rPr>
        <w:rFonts w:hint="default"/>
        <w:b w:val="0"/>
        <w:i w:val="0"/>
        <w:strike w:val="0"/>
        <w:color w:val="auto"/>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6E3"/>
    <w:rsid w:val="00062A81"/>
    <w:rsid w:val="001F5269"/>
    <w:rsid w:val="004825BA"/>
    <w:rsid w:val="006816E3"/>
    <w:rsid w:val="006F6D3C"/>
    <w:rsid w:val="00BD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16E3"/>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nhideWhenUsed/>
    <w:rsid w:val="00062A8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62A8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Coos County</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corr</cp:lastModifiedBy>
  <cp:revision>2</cp:revision>
  <dcterms:created xsi:type="dcterms:W3CDTF">2020-11-12T22:21:00Z</dcterms:created>
  <dcterms:modified xsi:type="dcterms:W3CDTF">2020-11-12T22:23:00Z</dcterms:modified>
</cp:coreProperties>
</file>