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72" w:type="dxa"/>
        <w:tblLayout w:type="fixed"/>
        <w:tblLook w:val="04A0" w:firstRow="1" w:lastRow="0" w:firstColumn="1" w:lastColumn="0" w:noHBand="0" w:noVBand="1"/>
      </w:tblPr>
      <w:tblGrid>
        <w:gridCol w:w="900"/>
        <w:gridCol w:w="6120"/>
        <w:gridCol w:w="1350"/>
        <w:gridCol w:w="1620"/>
      </w:tblGrid>
      <w:tr w:rsidR="0063493C" w:rsidRPr="00AD5ACB" w:rsidTr="002F7697">
        <w:trPr>
          <w:cantSplit/>
          <w:trHeight w:val="683"/>
        </w:trPr>
        <w:tc>
          <w:tcPr>
            <w:tcW w:w="900" w:type="dxa"/>
            <w:tcBorders>
              <w:top w:val="nil"/>
              <w:left w:val="single" w:sz="4" w:space="0" w:color="auto"/>
              <w:bottom w:val="single" w:sz="4" w:space="0" w:color="auto"/>
              <w:right w:val="single" w:sz="4" w:space="0" w:color="auto"/>
            </w:tcBorders>
          </w:tcPr>
          <w:p w:rsidR="0063493C" w:rsidRPr="0063493C" w:rsidRDefault="0063493C" w:rsidP="0063493C">
            <w:pPr>
              <w:tabs>
                <w:tab w:val="left" w:pos="103"/>
              </w:tabs>
              <w:rPr>
                <w:szCs w:val="22"/>
              </w:rPr>
            </w:pPr>
            <w:r>
              <w:rPr>
                <w:szCs w:val="22"/>
              </w:rPr>
              <w:t>14</w:t>
            </w:r>
          </w:p>
        </w:tc>
        <w:tc>
          <w:tcPr>
            <w:tcW w:w="6120" w:type="dxa"/>
            <w:tcBorders>
              <w:top w:val="nil"/>
              <w:left w:val="single" w:sz="4" w:space="0" w:color="auto"/>
              <w:bottom w:val="single" w:sz="4" w:space="0" w:color="auto"/>
              <w:right w:val="single" w:sz="4" w:space="0" w:color="auto"/>
            </w:tcBorders>
            <w:shd w:val="clear" w:color="auto" w:fill="auto"/>
            <w:noWrap/>
          </w:tcPr>
          <w:p w:rsidR="0063493C" w:rsidRPr="003C4EE2" w:rsidRDefault="0063493C" w:rsidP="002F7697">
            <w:pPr>
              <w:rPr>
                <w:color w:val="000000"/>
                <w:szCs w:val="22"/>
              </w:rPr>
            </w:pPr>
            <w:r w:rsidRPr="003C4EE2">
              <w:rPr>
                <w:sz w:val="22"/>
                <w:szCs w:val="22"/>
              </w:rPr>
              <w:t>Accessory Farm Dwellings for year-round and seasonal farm workers.</w:t>
            </w:r>
          </w:p>
        </w:tc>
        <w:tc>
          <w:tcPr>
            <w:tcW w:w="1350" w:type="dxa"/>
            <w:tcBorders>
              <w:top w:val="nil"/>
              <w:left w:val="nil"/>
              <w:bottom w:val="single" w:sz="4" w:space="0" w:color="auto"/>
              <w:right w:val="single" w:sz="4" w:space="0" w:color="auto"/>
            </w:tcBorders>
            <w:shd w:val="clear" w:color="auto" w:fill="auto"/>
            <w:noWrap/>
            <w:hideMark/>
          </w:tcPr>
          <w:p w:rsidR="0063493C" w:rsidRPr="00AD5ACB" w:rsidRDefault="0063493C" w:rsidP="002F7697">
            <w:pPr>
              <w:jc w:val="center"/>
              <w:rPr>
                <w:color w:val="000000"/>
                <w:szCs w:val="22"/>
              </w:rPr>
            </w:pPr>
            <w:r w:rsidRPr="00AD5ACB">
              <w:rPr>
                <w:color w:val="000000"/>
                <w:sz w:val="22"/>
                <w:szCs w:val="22"/>
              </w:rPr>
              <w:t>ACU</w:t>
            </w:r>
          </w:p>
          <w:p w:rsidR="0063493C" w:rsidRPr="00AD5ACB" w:rsidRDefault="0063493C" w:rsidP="002F7697">
            <w:pPr>
              <w:jc w:val="center"/>
              <w:rPr>
                <w:color w:val="000000"/>
                <w:szCs w:val="22"/>
              </w:rPr>
            </w:pPr>
            <w:r>
              <w:rPr>
                <w:color w:val="000000"/>
                <w:sz w:val="22"/>
                <w:szCs w:val="22"/>
              </w:rPr>
              <w:t xml:space="preserve">(5), </w:t>
            </w:r>
            <w:r w:rsidRPr="00AD5ACB">
              <w:rPr>
                <w:color w:val="000000"/>
                <w:sz w:val="22"/>
                <w:szCs w:val="22"/>
              </w:rPr>
              <w:t>(24)</w:t>
            </w:r>
            <w:r>
              <w:rPr>
                <w:color w:val="000000"/>
                <w:sz w:val="22"/>
                <w:szCs w:val="22"/>
              </w:rPr>
              <w:t>,</w:t>
            </w:r>
            <w:r w:rsidRPr="00AD5ACB">
              <w:rPr>
                <w:color w:val="000000"/>
                <w:sz w:val="22"/>
                <w:szCs w:val="22"/>
              </w:rPr>
              <w:t xml:space="preserve"> (30)</w:t>
            </w:r>
          </w:p>
        </w:tc>
        <w:tc>
          <w:tcPr>
            <w:tcW w:w="1620" w:type="dxa"/>
            <w:tcBorders>
              <w:top w:val="nil"/>
              <w:left w:val="nil"/>
              <w:bottom w:val="single" w:sz="4" w:space="0" w:color="auto"/>
              <w:right w:val="single" w:sz="4" w:space="0" w:color="auto"/>
            </w:tcBorders>
            <w:shd w:val="clear" w:color="auto" w:fill="auto"/>
            <w:noWrap/>
            <w:hideMark/>
          </w:tcPr>
          <w:p w:rsidR="0063493C" w:rsidRPr="00AD5ACB" w:rsidRDefault="0063493C" w:rsidP="002F7697">
            <w:pPr>
              <w:jc w:val="center"/>
              <w:rPr>
                <w:color w:val="000000"/>
                <w:szCs w:val="22"/>
              </w:rPr>
            </w:pPr>
            <w:r w:rsidRPr="00AD5ACB">
              <w:rPr>
                <w:color w:val="000000"/>
                <w:sz w:val="22"/>
                <w:szCs w:val="22"/>
              </w:rPr>
              <w:t>ACU</w:t>
            </w:r>
          </w:p>
          <w:p w:rsidR="0063493C" w:rsidRPr="00AD5ACB" w:rsidRDefault="0063493C" w:rsidP="002F7697">
            <w:pPr>
              <w:jc w:val="center"/>
              <w:rPr>
                <w:color w:val="000000"/>
                <w:szCs w:val="22"/>
              </w:rPr>
            </w:pPr>
            <w:r>
              <w:rPr>
                <w:color w:val="000000"/>
                <w:sz w:val="22"/>
                <w:szCs w:val="22"/>
              </w:rPr>
              <w:t xml:space="preserve">(5), </w:t>
            </w:r>
            <w:r w:rsidRPr="00AD5ACB">
              <w:rPr>
                <w:color w:val="000000"/>
                <w:sz w:val="22"/>
                <w:szCs w:val="22"/>
              </w:rPr>
              <w:t>(24)</w:t>
            </w:r>
            <w:r>
              <w:rPr>
                <w:color w:val="000000"/>
                <w:sz w:val="22"/>
                <w:szCs w:val="22"/>
              </w:rPr>
              <w:t>,</w:t>
            </w:r>
            <w:r w:rsidRPr="00AD5ACB">
              <w:rPr>
                <w:color w:val="000000"/>
                <w:sz w:val="22"/>
                <w:szCs w:val="22"/>
              </w:rPr>
              <w:t xml:space="preserve"> (30)</w:t>
            </w:r>
          </w:p>
        </w:tc>
      </w:tr>
    </w:tbl>
    <w:p w:rsidR="0063493C" w:rsidRDefault="0063493C" w:rsidP="0063493C">
      <w:pPr>
        <w:shd w:val="clear" w:color="auto" w:fill="FFFFFF" w:themeFill="background1"/>
        <w:ind w:left="360" w:hanging="360"/>
        <w:rPr>
          <w:color w:val="333333"/>
          <w:sz w:val="22"/>
          <w:szCs w:val="22"/>
        </w:rPr>
      </w:pPr>
    </w:p>
    <w:p w:rsidR="0063493C" w:rsidRPr="003C4EE2" w:rsidRDefault="0063493C" w:rsidP="0063493C">
      <w:pPr>
        <w:shd w:val="clear" w:color="auto" w:fill="FFFFFF" w:themeFill="background1"/>
        <w:ind w:left="360" w:hanging="360"/>
        <w:rPr>
          <w:color w:val="333333"/>
          <w:sz w:val="22"/>
          <w:szCs w:val="22"/>
        </w:rPr>
      </w:pPr>
      <w:r w:rsidRPr="003C4EE2">
        <w:rPr>
          <w:color w:val="333333"/>
          <w:sz w:val="22"/>
          <w:szCs w:val="22"/>
        </w:rPr>
        <w:t>(</w:t>
      </w:r>
      <w:r w:rsidRPr="0063493C">
        <w:rPr>
          <w:color w:val="333333"/>
          <w:sz w:val="22"/>
          <w:szCs w:val="22"/>
          <w:highlight w:val="yellow"/>
        </w:rPr>
        <w:t>5) APPROVAL CRITERIA</w:t>
      </w:r>
      <w:r>
        <w:rPr>
          <w:color w:val="333333"/>
          <w:sz w:val="22"/>
          <w:szCs w:val="22"/>
        </w:rPr>
        <w:t xml:space="preserve"> </w:t>
      </w:r>
      <w:r w:rsidRPr="003C4EE2">
        <w:rPr>
          <w:color w:val="333333"/>
          <w:sz w:val="22"/>
          <w:szCs w:val="22"/>
        </w:rPr>
        <w:t>Approval requires review by the governing body or its designate under ORS 215.296. Uses may be approved only where such uses:</w:t>
      </w:r>
    </w:p>
    <w:p w:rsidR="0063493C" w:rsidRPr="003C4EE2" w:rsidRDefault="0063493C" w:rsidP="0063493C">
      <w:pPr>
        <w:shd w:val="clear" w:color="auto" w:fill="FFFFFF" w:themeFill="background1"/>
        <w:ind w:left="630" w:hanging="270"/>
        <w:rPr>
          <w:color w:val="333333"/>
          <w:sz w:val="22"/>
          <w:szCs w:val="22"/>
        </w:rPr>
      </w:pPr>
      <w:r w:rsidRPr="003C4EE2">
        <w:rPr>
          <w:color w:val="333333"/>
          <w:sz w:val="22"/>
          <w:szCs w:val="22"/>
        </w:rPr>
        <w:t>(a) Will not force a significant change in accepted farm or forest practices on surrounding lands devoted to farm or forest use; and</w:t>
      </w:r>
    </w:p>
    <w:p w:rsidR="0063493C" w:rsidRDefault="0063493C" w:rsidP="0063493C">
      <w:pPr>
        <w:shd w:val="clear" w:color="auto" w:fill="FFFFFF" w:themeFill="background1"/>
        <w:ind w:left="630" w:hanging="270"/>
        <w:rPr>
          <w:color w:val="333333"/>
          <w:sz w:val="22"/>
          <w:szCs w:val="22"/>
        </w:rPr>
      </w:pPr>
      <w:r w:rsidRPr="003C4EE2">
        <w:rPr>
          <w:color w:val="333333"/>
          <w:sz w:val="22"/>
          <w:szCs w:val="22"/>
        </w:rPr>
        <w:t>(b) Will not significantly increase the cost of accepted farm or forest practices on surrounding lands devoted to farm or forest use.</w:t>
      </w:r>
    </w:p>
    <w:p w:rsidR="0063493C" w:rsidRPr="003C4EE2" w:rsidRDefault="0063493C" w:rsidP="0063493C">
      <w:pPr>
        <w:shd w:val="clear" w:color="auto" w:fill="FFFFFF" w:themeFill="background1"/>
        <w:ind w:left="450" w:hanging="450"/>
        <w:rPr>
          <w:color w:val="333333"/>
          <w:sz w:val="22"/>
          <w:szCs w:val="22"/>
        </w:rPr>
      </w:pPr>
      <w:r w:rsidRPr="0063493C">
        <w:rPr>
          <w:sz w:val="22"/>
          <w:szCs w:val="22"/>
          <w:highlight w:val="yellow"/>
        </w:rPr>
        <w:t xml:space="preserve">(24) </w:t>
      </w:r>
      <w:r w:rsidRPr="0063493C">
        <w:rPr>
          <w:caps/>
          <w:sz w:val="22"/>
          <w:szCs w:val="22"/>
          <w:highlight w:val="yellow"/>
        </w:rPr>
        <w:t>Accessory farm dwellings</w:t>
      </w:r>
      <w:r w:rsidRPr="008A1D4C">
        <w:rPr>
          <w:color w:val="333333"/>
          <w:sz w:val="22"/>
          <w:szCs w:val="22"/>
        </w:rPr>
        <w:t xml:space="preserve"> </w:t>
      </w:r>
      <w:r>
        <w:rPr>
          <w:color w:val="333333"/>
          <w:sz w:val="22"/>
          <w:szCs w:val="22"/>
        </w:rPr>
        <w:t xml:space="preserve">- </w:t>
      </w:r>
      <w:r w:rsidRPr="003C4EE2">
        <w:rPr>
          <w:color w:val="333333"/>
          <w:sz w:val="22"/>
          <w:szCs w:val="22"/>
        </w:rPr>
        <w:t>Accessory farm dwellings as defined by subsection (e) of this section may be considered customarily provided in conjunction with farm use if:</w:t>
      </w:r>
    </w:p>
    <w:p w:rsidR="0063493C" w:rsidRPr="003C4EE2" w:rsidRDefault="0063493C" w:rsidP="0063493C">
      <w:pPr>
        <w:shd w:val="clear" w:color="auto" w:fill="FFFFFF" w:themeFill="background1"/>
        <w:ind w:left="810" w:hanging="360"/>
        <w:rPr>
          <w:color w:val="333333"/>
          <w:sz w:val="22"/>
          <w:szCs w:val="22"/>
        </w:rPr>
      </w:pPr>
      <w:r w:rsidRPr="003C4EE2">
        <w:rPr>
          <w:color w:val="333333"/>
          <w:sz w:val="22"/>
          <w:szCs w:val="22"/>
        </w:rPr>
        <w:t>(a) Each accessory farm dwelling meets all the following requirements:</w:t>
      </w:r>
    </w:p>
    <w:p w:rsidR="0063493C" w:rsidRPr="003C4EE2" w:rsidRDefault="0063493C" w:rsidP="0063493C">
      <w:pPr>
        <w:shd w:val="clear" w:color="auto" w:fill="FFFFFF" w:themeFill="background1"/>
        <w:ind w:left="1170" w:hanging="360"/>
        <w:rPr>
          <w:color w:val="333333"/>
          <w:sz w:val="22"/>
          <w:szCs w:val="22"/>
        </w:rPr>
      </w:pPr>
      <w:r w:rsidRPr="003C4EE2">
        <w:rPr>
          <w:color w:val="333333"/>
          <w:sz w:val="22"/>
          <w:szCs w:val="22"/>
        </w:rPr>
        <w:t>(A) The accessory farm dwelling will be occupied by a person or persons who will be principally engaged in the farm use of the land and whose seasonal or year-round assistance in the management of the farm use, such as planting, harvesting, marketing or caring for livestock, is or will be required by the farm operator;</w:t>
      </w:r>
    </w:p>
    <w:p w:rsidR="0063493C" w:rsidRPr="003C4EE2" w:rsidRDefault="0063493C" w:rsidP="0063493C">
      <w:pPr>
        <w:shd w:val="clear" w:color="auto" w:fill="FFFFFF" w:themeFill="background1"/>
        <w:ind w:left="1170" w:hanging="360"/>
        <w:rPr>
          <w:color w:val="333333"/>
          <w:sz w:val="22"/>
          <w:szCs w:val="22"/>
        </w:rPr>
      </w:pPr>
      <w:r w:rsidRPr="003C4EE2">
        <w:rPr>
          <w:color w:val="333333"/>
          <w:sz w:val="22"/>
          <w:szCs w:val="22"/>
        </w:rPr>
        <w:t>(B) The accessory farm dwelling will be located:</w:t>
      </w:r>
    </w:p>
    <w:p w:rsidR="0063493C" w:rsidRPr="003C4EE2" w:rsidRDefault="0063493C" w:rsidP="0063493C">
      <w:pPr>
        <w:shd w:val="clear" w:color="auto" w:fill="FFFFFF" w:themeFill="background1"/>
        <w:ind w:left="1440" w:hanging="270"/>
        <w:rPr>
          <w:color w:val="333333"/>
          <w:sz w:val="22"/>
          <w:szCs w:val="22"/>
        </w:rPr>
      </w:pPr>
      <w:r w:rsidRPr="003C4EE2">
        <w:rPr>
          <w:color w:val="333333"/>
          <w:sz w:val="22"/>
          <w:szCs w:val="22"/>
        </w:rPr>
        <w:t>(</w:t>
      </w:r>
      <w:proofErr w:type="spellStart"/>
      <w:r w:rsidRPr="003C4EE2">
        <w:rPr>
          <w:color w:val="333333"/>
          <w:sz w:val="22"/>
          <w:szCs w:val="22"/>
        </w:rPr>
        <w:t>i</w:t>
      </w:r>
      <w:proofErr w:type="spellEnd"/>
      <w:r w:rsidRPr="003C4EE2">
        <w:rPr>
          <w:color w:val="333333"/>
          <w:sz w:val="22"/>
          <w:szCs w:val="22"/>
        </w:rPr>
        <w:t>) On the same lot or parcel as the primary farm dwelling;</w:t>
      </w:r>
    </w:p>
    <w:p w:rsidR="0063493C" w:rsidRPr="003C4EE2" w:rsidRDefault="0063493C" w:rsidP="0063493C">
      <w:pPr>
        <w:shd w:val="clear" w:color="auto" w:fill="FFFFFF" w:themeFill="background1"/>
        <w:ind w:left="1440" w:hanging="270"/>
        <w:rPr>
          <w:color w:val="333333"/>
          <w:sz w:val="22"/>
          <w:szCs w:val="22"/>
        </w:rPr>
      </w:pPr>
      <w:r w:rsidRPr="003C4EE2">
        <w:rPr>
          <w:color w:val="333333"/>
          <w:sz w:val="22"/>
          <w:szCs w:val="22"/>
        </w:rPr>
        <w:t>(ii) On the same tract as the primary farm dwelling when the lot or parcel on which the accessory farm dwelling will be sited is consolidated into a single parcel with all other contiguous lots and parcels in the tract;</w:t>
      </w:r>
    </w:p>
    <w:p w:rsidR="0063493C" w:rsidRPr="003C4EE2" w:rsidRDefault="0063493C" w:rsidP="0063493C">
      <w:pPr>
        <w:shd w:val="clear" w:color="auto" w:fill="FFFFFF" w:themeFill="background1"/>
        <w:ind w:left="1440" w:hanging="270"/>
        <w:rPr>
          <w:color w:val="333333"/>
          <w:sz w:val="22"/>
          <w:szCs w:val="22"/>
        </w:rPr>
      </w:pPr>
      <w:r w:rsidRPr="003C4EE2">
        <w:rPr>
          <w:color w:val="333333"/>
          <w:sz w:val="22"/>
          <w:szCs w:val="22"/>
        </w:rPr>
        <w:t>(iii) On a lot or parcel on which the primary farm dwelling is not located, when the accessory farm dwelling is limited to only a manufactured dwelling with a deed restriction. The deed restriction shall be filed with the county clerk and require the manufactured dwelling to be removed when the lot or parcel is conveyed to another party. The manufactured dwelling may remain if it is reapproved under these rules;</w:t>
      </w:r>
    </w:p>
    <w:p w:rsidR="0063493C" w:rsidRPr="003C4EE2" w:rsidRDefault="0063493C" w:rsidP="0063493C">
      <w:pPr>
        <w:shd w:val="clear" w:color="auto" w:fill="FFFFFF" w:themeFill="background1"/>
        <w:ind w:left="1440" w:hanging="270"/>
        <w:rPr>
          <w:color w:val="333333"/>
          <w:sz w:val="22"/>
          <w:szCs w:val="22"/>
        </w:rPr>
      </w:pPr>
      <w:r w:rsidRPr="003C4EE2">
        <w:rPr>
          <w:color w:val="333333"/>
          <w:sz w:val="22"/>
          <w:szCs w:val="22"/>
        </w:rPr>
        <w:t>(iv) On any lot or parcel, when the accessory farm dwelling is limited to only attached multi-unit residential structures allowed by the applicable state building code or similar types of farmworker housing as that existing on farm or ranch operations registered with the Department of Consumer and Business Services, Oregon Occupational Safety and Health Division under ORS 658.750. A county shall require all accessory farm dwellings approved under this subparagraph to be removed, demolished or converted to a nonresidential use when farmworker housing is no longer required. “Farmworker housing” shall have the meaning set forth in 215.278 and not the meaning in 315.163; or</w:t>
      </w:r>
    </w:p>
    <w:p w:rsidR="0063493C" w:rsidRPr="003C4EE2" w:rsidRDefault="0063493C" w:rsidP="0063493C">
      <w:pPr>
        <w:shd w:val="clear" w:color="auto" w:fill="FFFFFF" w:themeFill="background1"/>
        <w:ind w:left="1440" w:hanging="270"/>
        <w:rPr>
          <w:color w:val="333333"/>
          <w:sz w:val="22"/>
          <w:szCs w:val="22"/>
        </w:rPr>
      </w:pPr>
      <w:r w:rsidRPr="003C4EE2">
        <w:rPr>
          <w:color w:val="333333"/>
          <w:sz w:val="22"/>
          <w:szCs w:val="22"/>
        </w:rPr>
        <w:t>(v) On a lot or parcel on which the primary farm dwelling is not located, when the accessory farm dwelling is located on a lot or parcel at least the size of the applicable minimum lot size under ORS 215.780 and the lot or parcel complies with the gross farm income requirements in OAR 660-033-0135(3) or (4), whichever is applicable; and</w:t>
      </w:r>
    </w:p>
    <w:p w:rsidR="0063493C" w:rsidRPr="003C4EE2" w:rsidRDefault="0063493C" w:rsidP="0063493C">
      <w:pPr>
        <w:shd w:val="clear" w:color="auto" w:fill="FFFFFF" w:themeFill="background1"/>
        <w:ind w:left="1170" w:hanging="360"/>
        <w:rPr>
          <w:color w:val="333333"/>
          <w:sz w:val="22"/>
          <w:szCs w:val="22"/>
        </w:rPr>
      </w:pPr>
      <w:r w:rsidRPr="003C4EE2">
        <w:rPr>
          <w:color w:val="333333"/>
          <w:sz w:val="22"/>
          <w:szCs w:val="22"/>
        </w:rPr>
        <w:t>(C) There is no other dwelling on the lands designated for exclusive farm use owned by the farm operator that is vacant or currently occupied by persons not working on the subject farm or ranch and that could reasonably be used as an accessory farm dwelling.</w:t>
      </w:r>
    </w:p>
    <w:p w:rsidR="0063493C" w:rsidRPr="003C4EE2" w:rsidRDefault="0063493C" w:rsidP="0063493C">
      <w:pPr>
        <w:shd w:val="clear" w:color="auto" w:fill="FFFFFF" w:themeFill="background1"/>
        <w:ind w:left="810" w:hanging="360"/>
        <w:rPr>
          <w:color w:val="333333"/>
          <w:sz w:val="22"/>
          <w:szCs w:val="22"/>
        </w:rPr>
      </w:pPr>
      <w:r w:rsidRPr="003C4EE2">
        <w:rPr>
          <w:color w:val="333333"/>
          <w:sz w:val="22"/>
          <w:szCs w:val="22"/>
        </w:rPr>
        <w:t>(b) In addition to the requirements in subsection (a) of this section, the primary farm dwelling to which the proposed dwelling would be accessory, meets one of the following:</w:t>
      </w:r>
    </w:p>
    <w:p w:rsidR="0063493C" w:rsidRPr="003C4EE2" w:rsidRDefault="0063493C" w:rsidP="0063493C">
      <w:pPr>
        <w:shd w:val="clear" w:color="auto" w:fill="FFFFFF" w:themeFill="background1"/>
        <w:ind w:left="1170" w:hanging="360"/>
        <w:rPr>
          <w:color w:val="333333"/>
          <w:sz w:val="22"/>
          <w:szCs w:val="22"/>
        </w:rPr>
      </w:pPr>
      <w:r w:rsidRPr="003C4EE2">
        <w:rPr>
          <w:color w:val="333333"/>
          <w:sz w:val="22"/>
          <w:szCs w:val="22"/>
        </w:rPr>
        <w:t>(A)</w:t>
      </w:r>
      <w:r>
        <w:rPr>
          <w:color w:val="333333"/>
          <w:sz w:val="22"/>
          <w:szCs w:val="22"/>
        </w:rPr>
        <w:t xml:space="preserve"> </w:t>
      </w:r>
      <w:r w:rsidRPr="003C4EE2">
        <w:rPr>
          <w:color w:val="333333"/>
          <w:sz w:val="22"/>
          <w:szCs w:val="22"/>
        </w:rPr>
        <w:t>On land not identified as high-value farmland, the primary farm dwelling is located on a farm or ranch operation that is currently employed for farm use, as defined in ORS 215.203, on which, in each of the last two years or three of the last five years or in an average of three of the last five years, the farm operator earned the lower of the following:</w:t>
      </w:r>
    </w:p>
    <w:p w:rsidR="0063493C" w:rsidRPr="003C4EE2" w:rsidRDefault="0063493C" w:rsidP="0063493C">
      <w:pPr>
        <w:shd w:val="clear" w:color="auto" w:fill="FFFFFF" w:themeFill="background1"/>
        <w:ind w:left="1440" w:hanging="270"/>
        <w:rPr>
          <w:color w:val="333333"/>
          <w:sz w:val="22"/>
          <w:szCs w:val="22"/>
        </w:rPr>
      </w:pPr>
      <w:r w:rsidRPr="003C4EE2">
        <w:rPr>
          <w:color w:val="333333"/>
          <w:sz w:val="22"/>
          <w:szCs w:val="22"/>
        </w:rPr>
        <w:t>(</w:t>
      </w:r>
      <w:proofErr w:type="spellStart"/>
      <w:r w:rsidRPr="003C4EE2">
        <w:rPr>
          <w:color w:val="333333"/>
          <w:sz w:val="22"/>
          <w:szCs w:val="22"/>
        </w:rPr>
        <w:t>i</w:t>
      </w:r>
      <w:proofErr w:type="spellEnd"/>
      <w:r w:rsidRPr="003C4EE2">
        <w:rPr>
          <w:color w:val="333333"/>
          <w:sz w:val="22"/>
          <w:szCs w:val="22"/>
        </w:rPr>
        <w:t>) At least $40,000 in gross annual income from the sale of farm products. In determining the gross income, the cost of purchased livestock shall be deducted from the total gross income attributed to the tract; or</w:t>
      </w:r>
    </w:p>
    <w:p w:rsidR="0063493C" w:rsidRPr="003C4EE2" w:rsidRDefault="0063493C" w:rsidP="0063493C">
      <w:pPr>
        <w:shd w:val="clear" w:color="auto" w:fill="FFFFFF" w:themeFill="background1"/>
        <w:ind w:left="1440" w:hanging="270"/>
        <w:rPr>
          <w:color w:val="333333"/>
          <w:sz w:val="22"/>
          <w:szCs w:val="22"/>
        </w:rPr>
      </w:pPr>
      <w:r w:rsidRPr="003C4EE2">
        <w:rPr>
          <w:color w:val="333333"/>
          <w:sz w:val="22"/>
          <w:szCs w:val="22"/>
        </w:rPr>
        <w:lastRenderedPageBreak/>
        <w:t>(ii) Gross annual income of at least the midpoint of the median income range of gross annual sales for farms in the county with the gross annual sales of $10,000 or more according to the 1992 Census of Agriculture, Oregon. In determining the gross income, the cost of purchased livestock shall be deducted from the total gross income attributed to the tract;</w:t>
      </w:r>
    </w:p>
    <w:p w:rsidR="0063493C" w:rsidRPr="003C4EE2" w:rsidRDefault="0063493C" w:rsidP="0063493C">
      <w:pPr>
        <w:shd w:val="clear" w:color="auto" w:fill="FFFFFF" w:themeFill="background1"/>
        <w:ind w:left="1170" w:hanging="360"/>
        <w:rPr>
          <w:color w:val="333333"/>
          <w:sz w:val="22"/>
          <w:szCs w:val="22"/>
        </w:rPr>
      </w:pPr>
      <w:r w:rsidRPr="0063493C">
        <w:rPr>
          <w:color w:val="333333"/>
          <w:sz w:val="22"/>
          <w:szCs w:val="22"/>
          <w:highlight w:val="yellow"/>
        </w:rPr>
        <w:t>(B) On land identified as high-value farmland, the primary farm dwelling is located on a farm or ranch operation that is currently employed for farm use, as defined in ORS 215.203, on which the farm operator earned at least $80,000 in gross annual income from the sale of farm products in each of the last two years or three of the last five years or in an average of three of the last five years. In determining the gross income, the cost of purchased livestock shall be deducted from the total gross income attributed to the tr</w:t>
      </w:r>
      <w:r w:rsidRPr="003C4EE2">
        <w:rPr>
          <w:color w:val="333333"/>
          <w:sz w:val="22"/>
          <w:szCs w:val="22"/>
        </w:rPr>
        <w:t>act;</w:t>
      </w:r>
    </w:p>
    <w:p w:rsidR="0063493C" w:rsidRPr="00695652" w:rsidRDefault="0063493C" w:rsidP="0063493C">
      <w:pPr>
        <w:shd w:val="clear" w:color="auto" w:fill="FFFFFF" w:themeFill="background1"/>
        <w:ind w:left="1170" w:hanging="360"/>
        <w:rPr>
          <w:b/>
          <w:color w:val="333333"/>
          <w:sz w:val="22"/>
          <w:szCs w:val="22"/>
        </w:rPr>
      </w:pPr>
      <w:r w:rsidRPr="003C4EE2">
        <w:rPr>
          <w:color w:val="333333"/>
          <w:sz w:val="22"/>
          <w:szCs w:val="22"/>
        </w:rPr>
        <w:t xml:space="preserve">(C) </w:t>
      </w:r>
      <w:r w:rsidRPr="00432835">
        <w:rPr>
          <w:color w:val="333333"/>
          <w:sz w:val="22"/>
          <w:szCs w:val="22"/>
        </w:rPr>
        <w:t>Not applicable to Coos County;</w:t>
      </w:r>
      <w:r>
        <w:rPr>
          <w:b/>
          <w:color w:val="333333"/>
          <w:sz w:val="22"/>
          <w:szCs w:val="22"/>
        </w:rPr>
        <w:t xml:space="preserve"> </w:t>
      </w:r>
      <w:r w:rsidRPr="003C4EE2">
        <w:rPr>
          <w:color w:val="333333"/>
          <w:sz w:val="22"/>
          <w:szCs w:val="22"/>
        </w:rPr>
        <w:t>or</w:t>
      </w:r>
    </w:p>
    <w:p w:rsidR="0063493C" w:rsidRPr="003C4EE2" w:rsidRDefault="0063493C" w:rsidP="0063493C">
      <w:pPr>
        <w:shd w:val="clear" w:color="auto" w:fill="FFFFFF" w:themeFill="background1"/>
        <w:ind w:left="1170" w:hanging="360"/>
        <w:rPr>
          <w:color w:val="333333"/>
          <w:sz w:val="22"/>
          <w:szCs w:val="22"/>
        </w:rPr>
      </w:pPr>
      <w:r w:rsidRPr="003C4EE2">
        <w:rPr>
          <w:color w:val="333333"/>
          <w:sz w:val="22"/>
          <w:szCs w:val="22"/>
        </w:rPr>
        <w:t>(D) It is located on a commercial dairy farm as defined by OAR 660-033-0135(8); and</w:t>
      </w:r>
    </w:p>
    <w:p w:rsidR="0063493C" w:rsidRPr="003C4EE2" w:rsidRDefault="0063493C" w:rsidP="0063493C">
      <w:pPr>
        <w:shd w:val="clear" w:color="auto" w:fill="FFFFFF" w:themeFill="background1"/>
        <w:ind w:left="1440" w:hanging="270"/>
        <w:rPr>
          <w:color w:val="333333"/>
          <w:sz w:val="22"/>
          <w:szCs w:val="22"/>
        </w:rPr>
      </w:pPr>
      <w:r w:rsidRPr="003C4EE2">
        <w:rPr>
          <w:color w:val="333333"/>
          <w:sz w:val="22"/>
          <w:szCs w:val="22"/>
        </w:rPr>
        <w:t>(</w:t>
      </w:r>
      <w:proofErr w:type="spellStart"/>
      <w:r w:rsidRPr="003C4EE2">
        <w:rPr>
          <w:color w:val="333333"/>
          <w:sz w:val="22"/>
          <w:szCs w:val="22"/>
        </w:rPr>
        <w:t>i</w:t>
      </w:r>
      <w:proofErr w:type="spellEnd"/>
      <w:r w:rsidRPr="003C4EE2">
        <w:rPr>
          <w:color w:val="333333"/>
          <w:sz w:val="22"/>
          <w:szCs w:val="22"/>
        </w:rPr>
        <w:t>) The building perm</w:t>
      </w:r>
      <w:bookmarkStart w:id="0" w:name="_GoBack"/>
      <w:bookmarkEnd w:id="0"/>
      <w:r w:rsidRPr="003C4EE2">
        <w:rPr>
          <w:color w:val="333333"/>
          <w:sz w:val="22"/>
          <w:szCs w:val="22"/>
        </w:rPr>
        <w:t>its, if required, have been issued and construction has begun or been completed for the buildings and animal waste facilities required for a commercial dairy farm;</w:t>
      </w:r>
    </w:p>
    <w:p w:rsidR="0063493C" w:rsidRPr="003C4EE2" w:rsidRDefault="0063493C" w:rsidP="0063493C">
      <w:pPr>
        <w:shd w:val="clear" w:color="auto" w:fill="FFFFFF" w:themeFill="background1"/>
        <w:ind w:left="1440" w:hanging="270"/>
        <w:rPr>
          <w:color w:val="333333"/>
          <w:sz w:val="22"/>
          <w:szCs w:val="22"/>
        </w:rPr>
      </w:pPr>
      <w:r w:rsidRPr="003C4EE2">
        <w:rPr>
          <w:color w:val="333333"/>
          <w:sz w:val="22"/>
          <w:szCs w:val="22"/>
        </w:rPr>
        <w:t>(ii) The Oregon Department of Agriculture has approved a permit for a "confined animal feeding operation" under ORS 468B.050 and 468B.200 to 468B.230; and</w:t>
      </w:r>
    </w:p>
    <w:p w:rsidR="0063493C" w:rsidRPr="003C4EE2" w:rsidRDefault="0063493C" w:rsidP="0063493C">
      <w:pPr>
        <w:shd w:val="clear" w:color="auto" w:fill="FFFFFF" w:themeFill="background1"/>
        <w:ind w:left="1440" w:hanging="270"/>
        <w:rPr>
          <w:color w:val="333333"/>
          <w:sz w:val="22"/>
          <w:szCs w:val="22"/>
        </w:rPr>
      </w:pPr>
      <w:r w:rsidRPr="003C4EE2">
        <w:rPr>
          <w:color w:val="333333"/>
          <w:sz w:val="22"/>
          <w:szCs w:val="22"/>
        </w:rPr>
        <w:t>(iii) A Producer License for the sale of dairy products under ORS 621.072.</w:t>
      </w:r>
    </w:p>
    <w:p w:rsidR="0063493C" w:rsidRPr="003C4EE2" w:rsidRDefault="0063493C" w:rsidP="0063493C">
      <w:pPr>
        <w:shd w:val="clear" w:color="auto" w:fill="FFFFFF" w:themeFill="background1"/>
        <w:ind w:left="720" w:hanging="270"/>
        <w:rPr>
          <w:color w:val="333333"/>
          <w:sz w:val="22"/>
          <w:szCs w:val="22"/>
        </w:rPr>
      </w:pPr>
      <w:r w:rsidRPr="003C4EE2">
        <w:rPr>
          <w:color w:val="333333"/>
          <w:sz w:val="22"/>
          <w:szCs w:val="22"/>
        </w:rPr>
        <w:t>(c) The governing body of a county shall not approve any proposed division of a lot or parcel for an accessory farm dwelling approved pursuant to this section. If it is determined that an accessory farm dwelling satisfies the requirements of OAR 660-033-0135, a parcel may be created consistent with the minimum parcel size requirements in 660-033-0100.</w:t>
      </w:r>
    </w:p>
    <w:p w:rsidR="0063493C" w:rsidRPr="003C4EE2" w:rsidRDefault="0063493C" w:rsidP="0063493C">
      <w:pPr>
        <w:shd w:val="clear" w:color="auto" w:fill="FFFFFF" w:themeFill="background1"/>
        <w:ind w:left="720" w:hanging="270"/>
        <w:rPr>
          <w:color w:val="333333"/>
          <w:sz w:val="22"/>
          <w:szCs w:val="22"/>
        </w:rPr>
      </w:pPr>
      <w:r w:rsidRPr="003C4EE2">
        <w:rPr>
          <w:color w:val="333333"/>
          <w:sz w:val="22"/>
          <w:szCs w:val="22"/>
        </w:rPr>
        <w:t>(d) An accessory farm dwelling approved pursuant to this section cannot later be used to satisfy the requirements for a dwelling not provided in conjunction with farm use pursuant to section (4) of this rule.</w:t>
      </w:r>
    </w:p>
    <w:p w:rsidR="0063493C" w:rsidRPr="003C4EE2" w:rsidRDefault="0063493C" w:rsidP="0063493C">
      <w:pPr>
        <w:shd w:val="clear" w:color="auto" w:fill="FFFFFF" w:themeFill="background1"/>
        <w:ind w:left="720" w:hanging="270"/>
        <w:rPr>
          <w:color w:val="333333"/>
          <w:sz w:val="22"/>
          <w:szCs w:val="22"/>
        </w:rPr>
      </w:pPr>
      <w:r w:rsidRPr="003C4EE2">
        <w:rPr>
          <w:color w:val="333333"/>
          <w:sz w:val="22"/>
          <w:szCs w:val="22"/>
        </w:rPr>
        <w:t>(e) For the purposes of OAR 660-033-0130(24), "accessory farm dwelling" includes all types of residential structures allowed by the applicable state building code.</w:t>
      </w:r>
    </w:p>
    <w:p w:rsidR="0063493C" w:rsidRDefault="0063493C" w:rsidP="0063493C">
      <w:pPr>
        <w:shd w:val="clear" w:color="auto" w:fill="FFFFFF" w:themeFill="background1"/>
        <w:ind w:left="720" w:hanging="270"/>
        <w:rPr>
          <w:color w:val="333333"/>
          <w:sz w:val="22"/>
          <w:szCs w:val="22"/>
        </w:rPr>
      </w:pPr>
      <w:r w:rsidRPr="003C4EE2">
        <w:rPr>
          <w:color w:val="333333"/>
          <w:sz w:val="22"/>
          <w:szCs w:val="22"/>
        </w:rPr>
        <w:t>(f) Farming of a marijuana crop shall not be used to demonstrate compliance with the approval criteria for an accessory farm dwelling.</w:t>
      </w:r>
    </w:p>
    <w:p w:rsidR="0063493C" w:rsidRDefault="0063493C" w:rsidP="0063493C">
      <w:pPr>
        <w:shd w:val="clear" w:color="auto" w:fill="FFFFFF" w:themeFill="background1"/>
        <w:ind w:left="720" w:hanging="270"/>
        <w:rPr>
          <w:color w:val="333333"/>
          <w:sz w:val="22"/>
          <w:szCs w:val="22"/>
        </w:rPr>
      </w:pPr>
    </w:p>
    <w:p w:rsidR="0063493C" w:rsidRDefault="0063493C" w:rsidP="0063493C">
      <w:pPr>
        <w:shd w:val="clear" w:color="auto" w:fill="FFFFFF" w:themeFill="background1"/>
        <w:ind w:left="450" w:hanging="450"/>
        <w:rPr>
          <w:color w:val="333333"/>
          <w:sz w:val="22"/>
          <w:szCs w:val="22"/>
        </w:rPr>
      </w:pPr>
      <w:r w:rsidRPr="0063493C">
        <w:rPr>
          <w:color w:val="333333"/>
          <w:sz w:val="22"/>
          <w:szCs w:val="22"/>
          <w:highlight w:val="yellow"/>
        </w:rPr>
        <w:t>(30) The County</w:t>
      </w:r>
      <w:r w:rsidRPr="003C4EE2">
        <w:rPr>
          <w:color w:val="333333"/>
          <w:sz w:val="22"/>
          <w:szCs w:val="22"/>
        </w:rPr>
        <w:t xml:space="preserve"> governing body or its designate shall require as a condition of approval of a single-fa</w:t>
      </w:r>
      <w:r>
        <w:rPr>
          <w:color w:val="333333"/>
          <w:sz w:val="22"/>
          <w:szCs w:val="22"/>
        </w:rPr>
        <w:t>mily dwelling under</w:t>
      </w:r>
      <w:r w:rsidRPr="003C4EE2">
        <w:rPr>
          <w:color w:val="333333"/>
          <w:sz w:val="22"/>
          <w:szCs w:val="22"/>
        </w:rPr>
        <w:t xml:space="preserve"> 215.283 or 215.284 or otherwise in a farm or forest zone, that the landowner for the dwelling sign and record in the deed records for the county a document binding the landowner, and the landowner's successors in interest, prohibiting them from pursuing a claim for relief or cause of action alleging injury from farming or forest practices for which no action or claim is allowed under 30.936 or 30.937.</w:t>
      </w:r>
    </w:p>
    <w:p w:rsidR="006F6D3C" w:rsidRDefault="006F6D3C"/>
    <w:sectPr w:rsidR="006F6D3C" w:rsidSect="006F6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A76F2"/>
    <w:multiLevelType w:val="hybridMultilevel"/>
    <w:tmpl w:val="65804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3C"/>
    <w:rsid w:val="001F5269"/>
    <w:rsid w:val="0063493C"/>
    <w:rsid w:val="006C320B"/>
    <w:rsid w:val="006F6D3C"/>
    <w:rsid w:val="009F7969"/>
    <w:rsid w:val="00BD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776E"/>
  <w15:chartTrackingRefBased/>
  <w15:docId w15:val="{E44FDAEB-CBB7-400D-B842-71E4CCF0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93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4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Coos County</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Orr</dc:creator>
  <cp:keywords/>
  <dc:description/>
  <cp:lastModifiedBy>Crystal Orr</cp:lastModifiedBy>
  <cp:revision>1</cp:revision>
  <dcterms:created xsi:type="dcterms:W3CDTF">2021-08-25T17:14:00Z</dcterms:created>
  <dcterms:modified xsi:type="dcterms:W3CDTF">2021-08-25T17:44:00Z</dcterms:modified>
</cp:coreProperties>
</file>